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608F8" w14:textId="77777777" w:rsidR="001510F5" w:rsidRPr="00A15536" w:rsidRDefault="00876648" w:rsidP="00625520">
      <w:pPr>
        <w:keepNext/>
        <w:keepLines/>
        <w:autoSpaceDE w:val="0"/>
        <w:autoSpaceDN w:val="0"/>
        <w:adjustRightInd w:val="0"/>
        <w:spacing w:after="0" w:line="360" w:lineRule="auto"/>
        <w:ind w:firstLine="540"/>
        <w:jc w:val="center"/>
        <w:outlineLvl w:val="0"/>
        <w:rPr>
          <w:rFonts w:ascii="Times New Roman" w:hAnsi="Times New Roman"/>
          <w:sz w:val="24"/>
          <w:szCs w:val="24"/>
        </w:rPr>
      </w:pPr>
      <w:r>
        <w:rPr>
          <w:rFonts w:ascii="Times New Roman" w:hAnsi="Times New Roman"/>
          <w:sz w:val="24"/>
          <w:szCs w:val="24"/>
        </w:rPr>
        <w:t>Т</w:t>
      </w:r>
      <w:r w:rsidR="000C2F9B">
        <w:rPr>
          <w:rFonts w:ascii="Times New Roman" w:hAnsi="Times New Roman"/>
          <w:sz w:val="24"/>
          <w:szCs w:val="24"/>
        </w:rPr>
        <w:t>аблица п</w:t>
      </w:r>
      <w:r w:rsidR="001510F5" w:rsidRPr="00A15536">
        <w:rPr>
          <w:rFonts w:ascii="Times New Roman" w:hAnsi="Times New Roman"/>
          <w:sz w:val="24"/>
          <w:szCs w:val="24"/>
        </w:rPr>
        <w:t>редложени</w:t>
      </w:r>
      <w:r w:rsidR="000C2F9B">
        <w:rPr>
          <w:rFonts w:ascii="Times New Roman" w:hAnsi="Times New Roman"/>
          <w:sz w:val="24"/>
          <w:szCs w:val="24"/>
        </w:rPr>
        <w:t>й</w:t>
      </w:r>
      <w:r w:rsidR="001510F5" w:rsidRPr="00A15536">
        <w:rPr>
          <w:rFonts w:ascii="Times New Roman" w:hAnsi="Times New Roman"/>
          <w:sz w:val="24"/>
          <w:szCs w:val="24"/>
        </w:rPr>
        <w:t xml:space="preserve"> и </w:t>
      </w:r>
      <w:r w:rsidR="005E7D7D">
        <w:rPr>
          <w:rFonts w:ascii="Times New Roman" w:hAnsi="Times New Roman"/>
          <w:sz w:val="24"/>
          <w:szCs w:val="24"/>
        </w:rPr>
        <w:t>замечаний</w:t>
      </w:r>
      <w:r w:rsidR="005D7E70">
        <w:rPr>
          <w:rFonts w:ascii="Times New Roman" w:hAnsi="Times New Roman"/>
          <w:sz w:val="24"/>
          <w:szCs w:val="24"/>
        </w:rPr>
        <w:t xml:space="preserve"> </w:t>
      </w:r>
      <w:r w:rsidR="001510F5" w:rsidRPr="00A15536">
        <w:rPr>
          <w:rFonts w:ascii="Times New Roman" w:hAnsi="Times New Roman"/>
          <w:sz w:val="24"/>
          <w:szCs w:val="24"/>
        </w:rPr>
        <w:t xml:space="preserve">организаций - членов СРО НФА </w:t>
      </w:r>
    </w:p>
    <w:p w14:paraId="3E72E1D1" w14:textId="0AA51315" w:rsidR="001510F5" w:rsidRPr="00A15536" w:rsidRDefault="0020390C" w:rsidP="00373A6B">
      <w:pPr>
        <w:keepNext/>
        <w:keepLines/>
        <w:autoSpaceDE w:val="0"/>
        <w:autoSpaceDN w:val="0"/>
        <w:adjustRightInd w:val="0"/>
        <w:spacing w:after="0" w:line="360" w:lineRule="auto"/>
        <w:ind w:firstLine="540"/>
        <w:jc w:val="center"/>
        <w:outlineLvl w:val="0"/>
        <w:rPr>
          <w:rFonts w:ascii="Times New Roman" w:hAnsi="Times New Roman"/>
          <w:sz w:val="24"/>
          <w:szCs w:val="24"/>
        </w:rPr>
      </w:pPr>
      <w:r>
        <w:rPr>
          <w:rFonts w:ascii="Times New Roman" w:hAnsi="Times New Roman"/>
          <w:sz w:val="24"/>
          <w:szCs w:val="24"/>
        </w:rPr>
        <w:t xml:space="preserve">к </w:t>
      </w:r>
      <w:r w:rsidR="00373A6B" w:rsidRPr="00373A6B">
        <w:rPr>
          <w:rFonts w:ascii="Times New Roman" w:hAnsi="Times New Roman"/>
          <w:sz w:val="24"/>
          <w:szCs w:val="24"/>
        </w:rPr>
        <w:t>проекту</w:t>
      </w:r>
      <w:r w:rsidR="005D7E70">
        <w:rPr>
          <w:rFonts w:ascii="Times New Roman" w:hAnsi="Times New Roman"/>
          <w:sz w:val="24"/>
          <w:szCs w:val="24"/>
        </w:rPr>
        <w:t xml:space="preserve"> </w:t>
      </w:r>
      <w:r w:rsidR="006019C7">
        <w:rPr>
          <w:rFonts w:ascii="Times New Roman" w:hAnsi="Times New Roman"/>
          <w:sz w:val="24"/>
          <w:szCs w:val="24"/>
        </w:rPr>
        <w:t>у</w:t>
      </w:r>
      <w:r w:rsidR="00C528E2">
        <w:rPr>
          <w:rFonts w:ascii="Times New Roman" w:hAnsi="Times New Roman"/>
          <w:sz w:val="24"/>
          <w:szCs w:val="24"/>
        </w:rPr>
        <w:t>казания</w:t>
      </w:r>
      <w:r w:rsidR="006019C7">
        <w:rPr>
          <w:rFonts w:ascii="Times New Roman" w:hAnsi="Times New Roman"/>
          <w:sz w:val="24"/>
          <w:szCs w:val="24"/>
        </w:rPr>
        <w:t xml:space="preserve"> </w:t>
      </w:r>
      <w:r w:rsidR="006019C7" w:rsidRPr="006019C7">
        <w:rPr>
          <w:rFonts w:ascii="Times New Roman" w:hAnsi="Times New Roman"/>
          <w:sz w:val="24"/>
          <w:szCs w:val="24"/>
        </w:rPr>
        <w:t>«О внесении изменений в Положение Банка России от 13 ноября 2015 года № 503-П «О порядке открытия и ведения депозитариями счетов депо и иных счетов</w:t>
      </w:r>
      <w:r w:rsidR="005D7E70" w:rsidRPr="005D7E70">
        <w:rPr>
          <w:rFonts w:ascii="Times New Roman" w:hAnsi="Times New Roman"/>
          <w:sz w:val="24"/>
          <w:szCs w:val="24"/>
        </w:rPr>
        <w:t xml:space="preserve">» </w:t>
      </w:r>
      <w:r w:rsidR="006D58C6">
        <w:rPr>
          <w:rFonts w:ascii="Times New Roman" w:hAnsi="Times New Roman"/>
          <w:sz w:val="24"/>
          <w:szCs w:val="24"/>
        </w:rPr>
        <w:t xml:space="preserve">(далее </w:t>
      </w:r>
      <w:r w:rsidR="00CB39F0">
        <w:rPr>
          <w:rFonts w:ascii="Times New Roman" w:hAnsi="Times New Roman"/>
          <w:sz w:val="24"/>
          <w:szCs w:val="24"/>
        </w:rPr>
        <w:t>–</w:t>
      </w:r>
      <w:r w:rsidR="006D58C6">
        <w:rPr>
          <w:rFonts w:ascii="Times New Roman" w:hAnsi="Times New Roman"/>
          <w:sz w:val="24"/>
          <w:szCs w:val="24"/>
        </w:rPr>
        <w:t xml:space="preserve"> проект</w:t>
      </w:r>
      <w:r w:rsidR="005E5EEE">
        <w:rPr>
          <w:rFonts w:ascii="Times New Roman" w:hAnsi="Times New Roman"/>
          <w:sz w:val="24"/>
          <w:szCs w:val="24"/>
        </w:rPr>
        <w:t xml:space="preserve"> </w:t>
      </w:r>
      <w:r w:rsidR="00C528E2">
        <w:rPr>
          <w:rFonts w:ascii="Times New Roman" w:hAnsi="Times New Roman"/>
          <w:sz w:val="24"/>
          <w:szCs w:val="24"/>
        </w:rPr>
        <w:t>Указа</w:t>
      </w:r>
      <w:r w:rsidR="005E5EEE">
        <w:rPr>
          <w:rFonts w:ascii="Times New Roman" w:hAnsi="Times New Roman"/>
          <w:sz w:val="24"/>
          <w:szCs w:val="24"/>
        </w:rPr>
        <w:t>ния</w:t>
      </w:r>
      <w:r w:rsidR="006D58C6">
        <w:rPr>
          <w:rFonts w:ascii="Times New Roman" w:hAnsi="Times New Roman"/>
          <w:sz w:val="24"/>
          <w:szCs w:val="24"/>
        </w:rPr>
        <w:t>).</w:t>
      </w:r>
    </w:p>
    <w:p w14:paraId="584DF2F4" w14:textId="77777777" w:rsidR="001510F5" w:rsidRPr="00A15536" w:rsidRDefault="001510F5">
      <w:pPr>
        <w:rPr>
          <w:rFonts w:ascii="Times New Roman" w:hAnsi="Times New Roman"/>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
        <w:gridCol w:w="2991"/>
        <w:gridCol w:w="5954"/>
        <w:gridCol w:w="4819"/>
      </w:tblGrid>
      <w:tr w:rsidR="00CB6B10" w:rsidRPr="00A15536" w14:paraId="43F7EDBC" w14:textId="77777777" w:rsidTr="008E1A55">
        <w:tc>
          <w:tcPr>
            <w:tcW w:w="973" w:type="dxa"/>
          </w:tcPr>
          <w:p w14:paraId="416E6749" w14:textId="77777777" w:rsidR="00CB6B10" w:rsidRPr="00A15536" w:rsidRDefault="00CB6B10" w:rsidP="00631E9E">
            <w:pPr>
              <w:spacing w:after="0" w:line="240" w:lineRule="auto"/>
              <w:jc w:val="both"/>
              <w:rPr>
                <w:rFonts w:ascii="Times New Roman" w:hAnsi="Times New Roman"/>
                <w:b/>
                <w:sz w:val="24"/>
                <w:szCs w:val="24"/>
              </w:rPr>
            </w:pPr>
            <w:r w:rsidRPr="00A15536">
              <w:rPr>
                <w:rFonts w:ascii="Times New Roman" w:hAnsi="Times New Roman"/>
                <w:b/>
                <w:sz w:val="24"/>
                <w:szCs w:val="24"/>
              </w:rPr>
              <w:t>№ п/п</w:t>
            </w:r>
          </w:p>
        </w:tc>
        <w:tc>
          <w:tcPr>
            <w:tcW w:w="2991" w:type="dxa"/>
          </w:tcPr>
          <w:p w14:paraId="437D43E5" w14:textId="77777777" w:rsidR="00CB6B10" w:rsidRPr="00A15536" w:rsidRDefault="00CB6B10" w:rsidP="00631E9E">
            <w:pPr>
              <w:spacing w:after="0" w:line="240" w:lineRule="auto"/>
              <w:jc w:val="both"/>
              <w:rPr>
                <w:rFonts w:ascii="Times New Roman" w:hAnsi="Times New Roman"/>
                <w:b/>
                <w:sz w:val="24"/>
                <w:szCs w:val="24"/>
              </w:rPr>
            </w:pPr>
            <w:r w:rsidRPr="00A15536">
              <w:rPr>
                <w:rFonts w:ascii="Times New Roman" w:hAnsi="Times New Roman"/>
                <w:b/>
                <w:sz w:val="24"/>
                <w:szCs w:val="24"/>
              </w:rPr>
              <w:t xml:space="preserve">Структурная единица проекта </w:t>
            </w:r>
            <w:r>
              <w:rPr>
                <w:rFonts w:ascii="Times New Roman" w:hAnsi="Times New Roman"/>
                <w:b/>
                <w:sz w:val="24"/>
                <w:szCs w:val="24"/>
              </w:rPr>
              <w:t>Указания</w:t>
            </w:r>
          </w:p>
        </w:tc>
        <w:tc>
          <w:tcPr>
            <w:tcW w:w="5954" w:type="dxa"/>
          </w:tcPr>
          <w:p w14:paraId="37A28301" w14:textId="77777777" w:rsidR="00CB6B10" w:rsidRPr="00A15536" w:rsidRDefault="00CB6B10" w:rsidP="00631E9E">
            <w:pPr>
              <w:spacing w:after="0" w:line="240" w:lineRule="auto"/>
              <w:jc w:val="both"/>
              <w:rPr>
                <w:rFonts w:ascii="Times New Roman" w:hAnsi="Times New Roman"/>
                <w:b/>
                <w:sz w:val="24"/>
                <w:szCs w:val="24"/>
              </w:rPr>
            </w:pPr>
            <w:r w:rsidRPr="00A15536">
              <w:rPr>
                <w:rFonts w:ascii="Times New Roman" w:hAnsi="Times New Roman"/>
                <w:b/>
                <w:sz w:val="24"/>
                <w:szCs w:val="24"/>
              </w:rPr>
              <w:t>Содержание замечания или предложения</w:t>
            </w:r>
          </w:p>
        </w:tc>
        <w:tc>
          <w:tcPr>
            <w:tcW w:w="4819" w:type="dxa"/>
          </w:tcPr>
          <w:p w14:paraId="70889CE5" w14:textId="77777777" w:rsidR="00CB6B10" w:rsidRPr="00A15536" w:rsidRDefault="00CB6B10" w:rsidP="00631E9E">
            <w:pPr>
              <w:spacing w:after="0" w:line="240" w:lineRule="auto"/>
              <w:jc w:val="both"/>
              <w:rPr>
                <w:rFonts w:ascii="Times New Roman" w:hAnsi="Times New Roman"/>
                <w:b/>
                <w:sz w:val="24"/>
                <w:szCs w:val="24"/>
              </w:rPr>
            </w:pPr>
            <w:r>
              <w:rPr>
                <w:rFonts w:ascii="Times New Roman" w:hAnsi="Times New Roman"/>
                <w:b/>
                <w:sz w:val="24"/>
                <w:szCs w:val="24"/>
              </w:rPr>
              <w:t>Пояснение</w:t>
            </w:r>
          </w:p>
        </w:tc>
      </w:tr>
      <w:tr w:rsidR="00CB6B10" w:rsidRPr="00A15536" w14:paraId="5D997C4E" w14:textId="77777777" w:rsidTr="008E1A55">
        <w:tc>
          <w:tcPr>
            <w:tcW w:w="973" w:type="dxa"/>
          </w:tcPr>
          <w:p w14:paraId="1968188B" w14:textId="77777777" w:rsidR="00CB6B10" w:rsidRPr="00A15536" w:rsidRDefault="00CB6B10" w:rsidP="00631E9E">
            <w:pPr>
              <w:spacing w:after="0" w:line="240" w:lineRule="auto"/>
              <w:jc w:val="both"/>
              <w:rPr>
                <w:rFonts w:ascii="Times New Roman" w:hAnsi="Times New Roman"/>
                <w:sz w:val="24"/>
                <w:szCs w:val="24"/>
              </w:rPr>
            </w:pPr>
            <w:r w:rsidRPr="00A15536">
              <w:rPr>
                <w:rFonts w:ascii="Times New Roman" w:hAnsi="Times New Roman"/>
                <w:sz w:val="24"/>
                <w:szCs w:val="24"/>
              </w:rPr>
              <w:t>1.</w:t>
            </w:r>
          </w:p>
        </w:tc>
        <w:tc>
          <w:tcPr>
            <w:tcW w:w="2991" w:type="dxa"/>
          </w:tcPr>
          <w:p w14:paraId="49825EC4" w14:textId="7C47AF8F" w:rsidR="00CB6B10" w:rsidRPr="0008350F" w:rsidRDefault="00CB6B10" w:rsidP="00631E9E">
            <w:pPr>
              <w:spacing w:after="0" w:line="240" w:lineRule="auto"/>
              <w:jc w:val="both"/>
              <w:rPr>
                <w:rFonts w:ascii="Times New Roman" w:hAnsi="Times New Roman"/>
                <w:sz w:val="24"/>
                <w:szCs w:val="24"/>
              </w:rPr>
            </w:pPr>
            <w:r w:rsidRPr="0008350F">
              <w:rPr>
                <w:rFonts w:ascii="Times New Roman" w:hAnsi="Times New Roman"/>
                <w:sz w:val="24"/>
                <w:szCs w:val="24"/>
              </w:rPr>
              <w:t>Общие замечания</w:t>
            </w:r>
            <w:r w:rsidR="006C5AF0">
              <w:rPr>
                <w:rFonts w:ascii="Times New Roman" w:hAnsi="Times New Roman"/>
                <w:sz w:val="24"/>
                <w:szCs w:val="24"/>
              </w:rPr>
              <w:t xml:space="preserve"> к проекту Указания</w:t>
            </w:r>
          </w:p>
        </w:tc>
        <w:tc>
          <w:tcPr>
            <w:tcW w:w="5954" w:type="dxa"/>
          </w:tcPr>
          <w:p w14:paraId="178C5716" w14:textId="210AAF1A" w:rsidR="00844394" w:rsidRPr="00844394" w:rsidRDefault="00844394" w:rsidP="0045029A">
            <w:pPr>
              <w:spacing w:after="0" w:line="240" w:lineRule="auto"/>
              <w:jc w:val="both"/>
              <w:rPr>
                <w:rFonts w:ascii="Times New Roman" w:hAnsi="Times New Roman"/>
                <w:b/>
                <w:bCs/>
                <w:sz w:val="24"/>
                <w:szCs w:val="24"/>
              </w:rPr>
            </w:pPr>
            <w:r w:rsidRPr="00844394">
              <w:rPr>
                <w:rFonts w:ascii="Times New Roman" w:hAnsi="Times New Roman"/>
                <w:b/>
                <w:bCs/>
                <w:sz w:val="24"/>
                <w:szCs w:val="24"/>
              </w:rPr>
              <w:t>Предложения.</w:t>
            </w:r>
          </w:p>
          <w:p w14:paraId="17C67951" w14:textId="77777777" w:rsidR="00711056" w:rsidRDefault="00D16C35" w:rsidP="009E3B5C">
            <w:pPr>
              <w:pStyle w:val="a7"/>
              <w:numPr>
                <w:ilvl w:val="0"/>
                <w:numId w:val="2"/>
              </w:numPr>
              <w:spacing w:after="0" w:line="240" w:lineRule="auto"/>
              <w:ind w:left="0" w:firstLine="0"/>
              <w:jc w:val="both"/>
              <w:rPr>
                <w:rFonts w:ascii="Times New Roman" w:hAnsi="Times New Roman"/>
                <w:sz w:val="24"/>
                <w:szCs w:val="24"/>
              </w:rPr>
            </w:pPr>
            <w:r w:rsidRPr="00F93FB2">
              <w:rPr>
                <w:rFonts w:ascii="Times New Roman" w:hAnsi="Times New Roman"/>
                <w:sz w:val="24"/>
                <w:szCs w:val="24"/>
              </w:rPr>
              <w:t>Полагаем необходимым внести дополнения в Положение, прямо указав требования, которые распространяются на счета депо владельцев цифровых прав.</w:t>
            </w:r>
          </w:p>
          <w:p w14:paraId="055F00A4" w14:textId="1DB8952C" w:rsidR="00E75275" w:rsidRDefault="004043D6" w:rsidP="009E3B5C">
            <w:pPr>
              <w:pStyle w:val="a7"/>
              <w:numPr>
                <w:ilvl w:val="0"/>
                <w:numId w:val="2"/>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Полагаем необходимым </w:t>
            </w:r>
            <w:r w:rsidRPr="004043D6">
              <w:rPr>
                <w:rFonts w:ascii="Times New Roman" w:hAnsi="Times New Roman"/>
                <w:sz w:val="24"/>
                <w:szCs w:val="24"/>
              </w:rPr>
              <w:t>внести в Положение дополнения, конкретизирующие порядок открытия и проведения операций по счетам депо, используемым для учёта цифровых свидетельств, в особенности, с учётом возможности неоднозначного толкования п. 11 ст. 9 Закона 259-ФЗ, — основания и порядок списания цифровых свидетельств с соответствующих счетов.</w:t>
            </w:r>
          </w:p>
          <w:p w14:paraId="784A2626" w14:textId="30765078" w:rsidR="009D7752" w:rsidRPr="009D7752" w:rsidRDefault="009D7752" w:rsidP="009D7752">
            <w:pPr>
              <w:pStyle w:val="a7"/>
              <w:spacing w:after="0" w:line="240" w:lineRule="auto"/>
              <w:ind w:left="0"/>
              <w:jc w:val="both"/>
              <w:rPr>
                <w:rFonts w:ascii="Times New Roman" w:hAnsi="Times New Roman"/>
                <w:sz w:val="24"/>
                <w:szCs w:val="24"/>
              </w:rPr>
            </w:pPr>
            <w:r w:rsidRPr="00705512">
              <w:rPr>
                <w:rFonts w:ascii="Times New Roman" w:hAnsi="Times New Roman"/>
                <w:b/>
                <w:bCs/>
                <w:sz w:val="24"/>
                <w:szCs w:val="24"/>
              </w:rPr>
              <w:t>3.</w:t>
            </w:r>
            <w:r w:rsidRPr="009D7752">
              <w:rPr>
                <w:rFonts w:ascii="Times New Roman" w:hAnsi="Times New Roman"/>
                <w:sz w:val="24"/>
                <w:szCs w:val="24"/>
              </w:rPr>
              <w:tab/>
              <w:t xml:space="preserve">В пояснительной записке Банка России к </w:t>
            </w:r>
            <w:r w:rsidR="000E4C95">
              <w:rPr>
                <w:rFonts w:ascii="Times New Roman" w:hAnsi="Times New Roman"/>
                <w:sz w:val="24"/>
                <w:szCs w:val="24"/>
              </w:rPr>
              <w:t>п</w:t>
            </w:r>
            <w:r w:rsidRPr="009D7752">
              <w:rPr>
                <w:rFonts w:ascii="Times New Roman" w:hAnsi="Times New Roman"/>
                <w:sz w:val="24"/>
                <w:szCs w:val="24"/>
              </w:rPr>
              <w:t>роекту</w:t>
            </w:r>
            <w:r w:rsidR="000E4C95">
              <w:rPr>
                <w:rFonts w:ascii="Times New Roman" w:hAnsi="Times New Roman"/>
                <w:sz w:val="24"/>
                <w:szCs w:val="24"/>
              </w:rPr>
              <w:t xml:space="preserve"> Указания</w:t>
            </w:r>
            <w:r w:rsidRPr="009D7752">
              <w:rPr>
                <w:rFonts w:ascii="Times New Roman" w:hAnsi="Times New Roman"/>
                <w:sz w:val="24"/>
                <w:szCs w:val="24"/>
              </w:rPr>
              <w:t xml:space="preserve"> содержится утверждение о том, что «поскольку Закон о рынке ценных бумаг в редакции Федерального закона </w:t>
            </w:r>
            <w:r w:rsidR="005471D9">
              <w:rPr>
                <w:rFonts w:ascii="Times New Roman" w:hAnsi="Times New Roman"/>
                <w:sz w:val="24"/>
                <w:szCs w:val="24"/>
              </w:rPr>
              <w:t>№</w:t>
            </w:r>
            <w:r w:rsidRPr="009D7752">
              <w:rPr>
                <w:rFonts w:ascii="Times New Roman" w:hAnsi="Times New Roman"/>
                <w:sz w:val="24"/>
                <w:szCs w:val="24"/>
              </w:rPr>
              <w:t xml:space="preserve"> 514ФЗ (далее - Закон 39-ФЗ) не предусматривает условий списания ценных бумаг со счета депо эскроу-агента, отличных от общего порядка, установление таких условий в Проекте не требуется», Под «общим порядком» понима</w:t>
            </w:r>
            <w:r w:rsidR="000E4C95">
              <w:rPr>
                <w:rFonts w:ascii="Times New Roman" w:hAnsi="Times New Roman"/>
                <w:sz w:val="24"/>
                <w:szCs w:val="24"/>
              </w:rPr>
              <w:t>ю</w:t>
            </w:r>
            <w:r w:rsidRPr="009D7752">
              <w:rPr>
                <w:rFonts w:ascii="Times New Roman" w:hAnsi="Times New Roman"/>
                <w:sz w:val="24"/>
                <w:szCs w:val="24"/>
              </w:rPr>
              <w:t>т</w:t>
            </w:r>
            <w:r w:rsidR="000E4C95">
              <w:rPr>
                <w:rFonts w:ascii="Times New Roman" w:hAnsi="Times New Roman"/>
                <w:sz w:val="24"/>
                <w:szCs w:val="24"/>
              </w:rPr>
              <w:t>ся</w:t>
            </w:r>
            <w:r w:rsidRPr="009D7752">
              <w:rPr>
                <w:rFonts w:ascii="Times New Roman" w:hAnsi="Times New Roman"/>
                <w:sz w:val="24"/>
                <w:szCs w:val="24"/>
              </w:rPr>
              <w:t xml:space="preserve"> основания, предусмотренные п. 7.2. П</w:t>
            </w:r>
            <w:r w:rsidR="000E4C95">
              <w:rPr>
                <w:rFonts w:ascii="Times New Roman" w:hAnsi="Times New Roman"/>
                <w:sz w:val="24"/>
                <w:szCs w:val="24"/>
              </w:rPr>
              <w:t>оложения</w:t>
            </w:r>
            <w:r w:rsidRPr="009D7752">
              <w:rPr>
                <w:rFonts w:ascii="Times New Roman" w:hAnsi="Times New Roman"/>
                <w:sz w:val="24"/>
                <w:szCs w:val="24"/>
              </w:rPr>
              <w:t xml:space="preserve">. При этом механизм договора эскроу предполагает совершение операций списания ценных бумаг со счета эскроу-агента (счета депо владельца депонируемых по </w:t>
            </w:r>
            <w:r w:rsidRPr="009D7752">
              <w:rPr>
                <w:rFonts w:ascii="Times New Roman" w:hAnsi="Times New Roman"/>
                <w:sz w:val="24"/>
                <w:szCs w:val="24"/>
              </w:rPr>
              <w:lastRenderedPageBreak/>
              <w:t>договору эскроу ценных бумаг) и зачисление ценных бумаг на счет депо — бенефициара по договору эскроу без поручения на основании полученной депозитарием информации о возникновении указанных в договоре эскроу оснований для передачи депонированных ценных бумаг бенефициару по договору эскроу.</w:t>
            </w:r>
          </w:p>
          <w:p w14:paraId="4FA68554" w14:textId="579585CD" w:rsidR="009D7752" w:rsidRPr="009D7752" w:rsidRDefault="009D7752" w:rsidP="009D7752">
            <w:pPr>
              <w:pStyle w:val="a7"/>
              <w:spacing w:after="0" w:line="240" w:lineRule="auto"/>
              <w:ind w:left="0"/>
              <w:jc w:val="both"/>
              <w:rPr>
                <w:rFonts w:ascii="Times New Roman" w:hAnsi="Times New Roman"/>
                <w:sz w:val="24"/>
                <w:szCs w:val="24"/>
              </w:rPr>
            </w:pPr>
            <w:r w:rsidRPr="009D7752">
              <w:rPr>
                <w:rFonts w:ascii="Times New Roman" w:hAnsi="Times New Roman"/>
                <w:sz w:val="24"/>
                <w:szCs w:val="24"/>
              </w:rPr>
              <w:t>В связи с этим считае</w:t>
            </w:r>
            <w:r w:rsidR="000E4C95">
              <w:rPr>
                <w:rFonts w:ascii="Times New Roman" w:hAnsi="Times New Roman"/>
                <w:sz w:val="24"/>
                <w:szCs w:val="24"/>
              </w:rPr>
              <w:t>м</w:t>
            </w:r>
            <w:r w:rsidRPr="009D7752">
              <w:rPr>
                <w:rFonts w:ascii="Times New Roman" w:hAnsi="Times New Roman"/>
                <w:sz w:val="24"/>
                <w:szCs w:val="24"/>
              </w:rPr>
              <w:t xml:space="preserve"> необходимым установить в Порядке 503-П следующие основания для совершения операций по договорам эскроу:</w:t>
            </w:r>
          </w:p>
          <w:p w14:paraId="0C8CF398" w14:textId="7055833B" w:rsidR="000E4C95" w:rsidRDefault="000E4C95" w:rsidP="009D7752">
            <w:pPr>
              <w:pStyle w:val="a7"/>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9D7752" w:rsidRPr="009D7752">
              <w:rPr>
                <w:rFonts w:ascii="Times New Roman" w:hAnsi="Times New Roman"/>
                <w:sz w:val="24"/>
                <w:szCs w:val="24"/>
              </w:rPr>
              <w:t>основанием для списания ценных бумаг со счета эскроу агента (счета депо владельца</w:t>
            </w:r>
            <w:r w:rsidR="001E6D40">
              <w:rPr>
                <w:rFonts w:ascii="Times New Roman" w:hAnsi="Times New Roman"/>
                <w:sz w:val="24"/>
                <w:szCs w:val="24"/>
              </w:rPr>
              <w:t>,</w:t>
            </w:r>
            <w:r w:rsidR="009D7752" w:rsidRPr="009D7752">
              <w:rPr>
                <w:rFonts w:ascii="Times New Roman" w:hAnsi="Times New Roman"/>
                <w:sz w:val="24"/>
                <w:szCs w:val="24"/>
              </w:rPr>
              <w:t xml:space="preserve"> депонируемы</w:t>
            </w:r>
            <w:r w:rsidR="001E6D40">
              <w:rPr>
                <w:rFonts w:ascii="Times New Roman" w:hAnsi="Times New Roman"/>
                <w:sz w:val="24"/>
                <w:szCs w:val="24"/>
              </w:rPr>
              <w:t>е</w:t>
            </w:r>
            <w:r w:rsidR="009D7752" w:rsidRPr="009D7752">
              <w:rPr>
                <w:rFonts w:ascii="Times New Roman" w:hAnsi="Times New Roman"/>
                <w:sz w:val="24"/>
                <w:szCs w:val="24"/>
              </w:rPr>
              <w:t xml:space="preserve"> по договору эскроу ценны</w:t>
            </w:r>
            <w:r w:rsidR="001E6D40">
              <w:rPr>
                <w:rFonts w:ascii="Times New Roman" w:hAnsi="Times New Roman"/>
                <w:sz w:val="24"/>
                <w:szCs w:val="24"/>
              </w:rPr>
              <w:t>е</w:t>
            </w:r>
            <w:r w:rsidR="009D7752" w:rsidRPr="009D7752">
              <w:rPr>
                <w:rFonts w:ascii="Times New Roman" w:hAnsi="Times New Roman"/>
                <w:sz w:val="24"/>
                <w:szCs w:val="24"/>
              </w:rPr>
              <w:t xml:space="preserve"> бумаг</w:t>
            </w:r>
            <w:r w:rsidR="001E6D40">
              <w:rPr>
                <w:rFonts w:ascii="Times New Roman" w:hAnsi="Times New Roman"/>
                <w:sz w:val="24"/>
                <w:szCs w:val="24"/>
              </w:rPr>
              <w:t>и</w:t>
            </w:r>
            <w:r w:rsidR="009D7752" w:rsidRPr="009D7752">
              <w:rPr>
                <w:rFonts w:ascii="Times New Roman" w:hAnsi="Times New Roman"/>
                <w:sz w:val="24"/>
                <w:szCs w:val="24"/>
              </w:rPr>
              <w:t>) является получение депозитарием информации о возникновении указанных в договоре эскроу оснований для передачи депонированных ценных бумаг бенефициару по договору эскроу;</w:t>
            </w:r>
          </w:p>
          <w:p w14:paraId="4D3F8449" w14:textId="74328492" w:rsidR="009D7752" w:rsidRDefault="000E4C95" w:rsidP="009D7752">
            <w:pPr>
              <w:pStyle w:val="a7"/>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9D7752" w:rsidRPr="009D7752">
              <w:rPr>
                <w:rFonts w:ascii="Times New Roman" w:hAnsi="Times New Roman"/>
                <w:sz w:val="24"/>
                <w:szCs w:val="24"/>
              </w:rPr>
              <w:t xml:space="preserve"> основанием для зачисления ценных бумаг на счет депо бенефициара по договору эскроу является получение депозитарием информации о возникновении указанных в договоре эскроу оснований для передачи депонированных ценных бумаг бенефициару по договору эскроу.</w:t>
            </w:r>
          </w:p>
          <w:p w14:paraId="0BC8A798" w14:textId="77777777" w:rsidR="009E5A25" w:rsidRPr="009E5A25" w:rsidRDefault="009E5A25" w:rsidP="00ED276C">
            <w:pPr>
              <w:pStyle w:val="a7"/>
              <w:spacing w:after="0" w:line="240" w:lineRule="auto"/>
              <w:ind w:left="0"/>
              <w:jc w:val="both"/>
              <w:rPr>
                <w:rFonts w:ascii="Times New Roman" w:hAnsi="Times New Roman"/>
                <w:b/>
                <w:bCs/>
                <w:sz w:val="24"/>
                <w:szCs w:val="24"/>
              </w:rPr>
            </w:pPr>
            <w:r w:rsidRPr="009E5A25">
              <w:rPr>
                <w:rFonts w:ascii="Times New Roman" w:hAnsi="Times New Roman"/>
                <w:b/>
                <w:bCs/>
                <w:sz w:val="24"/>
                <w:szCs w:val="24"/>
              </w:rPr>
              <w:t>Замечание.</w:t>
            </w:r>
          </w:p>
          <w:p w14:paraId="7307FA39" w14:textId="13DF975B" w:rsidR="009E5A25" w:rsidRPr="00F93FB2" w:rsidRDefault="009E5A25" w:rsidP="009E5A25">
            <w:pPr>
              <w:pStyle w:val="a7"/>
              <w:spacing w:after="0" w:line="240" w:lineRule="auto"/>
              <w:ind w:left="0"/>
              <w:jc w:val="both"/>
              <w:rPr>
                <w:rFonts w:ascii="Times New Roman" w:hAnsi="Times New Roman"/>
                <w:sz w:val="24"/>
                <w:szCs w:val="24"/>
              </w:rPr>
            </w:pPr>
            <w:r w:rsidRPr="009E5A25">
              <w:rPr>
                <w:rFonts w:ascii="Times New Roman" w:hAnsi="Times New Roman"/>
                <w:sz w:val="24"/>
                <w:szCs w:val="24"/>
              </w:rPr>
              <w:t xml:space="preserve">Федеральный закон от 27.12.2018 № 514-ФЗ «О внесении изменений в Федеральный закон «О рынке ценных бумаг» и отдельные законодательные акты Российской Федерации в части совершенствования правового регулирования осуществления эмиссии ценных бумаг» заменяет фразу «обязательное централизованное хранение ценных бумаг» фразой «централизованный учёт прав на ценные бумаги». А в проекте Указания первая фраза дополняется второй </w:t>
            </w:r>
            <w:r w:rsidRPr="009E5A25">
              <w:rPr>
                <w:rFonts w:ascii="Times New Roman" w:hAnsi="Times New Roman"/>
                <w:sz w:val="24"/>
                <w:szCs w:val="24"/>
              </w:rPr>
              <w:lastRenderedPageBreak/>
              <w:t>фразой. Существование обеих фраз вызывает недопонимание их назначения.</w:t>
            </w:r>
          </w:p>
        </w:tc>
        <w:tc>
          <w:tcPr>
            <w:tcW w:w="4819" w:type="dxa"/>
          </w:tcPr>
          <w:p w14:paraId="302EBAC7" w14:textId="7F8AD283" w:rsidR="00707D30" w:rsidRPr="00E75275" w:rsidRDefault="00707D30" w:rsidP="009E3B5C">
            <w:pPr>
              <w:pStyle w:val="a7"/>
              <w:numPr>
                <w:ilvl w:val="0"/>
                <w:numId w:val="3"/>
              </w:numPr>
              <w:spacing w:after="0" w:line="240" w:lineRule="auto"/>
              <w:ind w:left="0" w:firstLine="0"/>
              <w:jc w:val="both"/>
              <w:rPr>
                <w:rFonts w:ascii="Times New Roman" w:hAnsi="Times New Roman"/>
                <w:sz w:val="24"/>
                <w:szCs w:val="24"/>
              </w:rPr>
            </w:pPr>
            <w:r w:rsidRPr="00E75275">
              <w:rPr>
                <w:rFonts w:ascii="Times New Roman" w:hAnsi="Times New Roman"/>
                <w:sz w:val="24"/>
                <w:szCs w:val="24"/>
              </w:rPr>
              <w:lastRenderedPageBreak/>
              <w:t>Несмотря на указание в пояснительной записке на то, что Проект подготовлен в связи с вступлением в силу с 1 января 2020 года новой редакции Федерального закона от 22.04.1996 №39-ФЗ «О рынке ценных бумаг» (далее — «Закон»), проект Указания не учитывает внесённые в Закон дополнения, касающиеся депозитарного учёта цифровых прав (см. п. 14—18 ст. 7 Закона в новой редакции), что означает сохранение противоречий между Законом и Положением</w:t>
            </w:r>
            <w:r>
              <w:t xml:space="preserve"> </w:t>
            </w:r>
            <w:r w:rsidRPr="00E75275">
              <w:rPr>
                <w:rFonts w:ascii="Times New Roman" w:hAnsi="Times New Roman"/>
                <w:sz w:val="24"/>
                <w:szCs w:val="24"/>
              </w:rPr>
              <w:t>Банка России от 13 ноября 2015 года № 503-П «О порядке открытия и ведения депозитариями счетов депо и иных счетов»</w:t>
            </w:r>
            <w:r w:rsidR="00060E52" w:rsidRPr="00E75275">
              <w:rPr>
                <w:rFonts w:ascii="Times New Roman" w:hAnsi="Times New Roman"/>
                <w:sz w:val="24"/>
                <w:szCs w:val="24"/>
              </w:rPr>
              <w:t xml:space="preserve"> (далее – Положение)</w:t>
            </w:r>
            <w:r w:rsidRPr="00E75275">
              <w:rPr>
                <w:rFonts w:ascii="Times New Roman" w:hAnsi="Times New Roman"/>
                <w:sz w:val="24"/>
                <w:szCs w:val="24"/>
              </w:rPr>
              <w:t xml:space="preserve"> даже в редакции проекта Указания.</w:t>
            </w:r>
          </w:p>
          <w:p w14:paraId="0BC03405" w14:textId="7B69B3F8" w:rsidR="00707D30" w:rsidRPr="00707D30" w:rsidRDefault="00707D30" w:rsidP="0026471D">
            <w:pPr>
              <w:pStyle w:val="a7"/>
              <w:spacing w:after="0" w:line="240" w:lineRule="auto"/>
              <w:ind w:left="0"/>
              <w:jc w:val="both"/>
              <w:rPr>
                <w:rFonts w:ascii="Times New Roman" w:hAnsi="Times New Roman"/>
                <w:sz w:val="24"/>
                <w:szCs w:val="24"/>
              </w:rPr>
            </w:pPr>
            <w:r w:rsidRPr="00707D30">
              <w:rPr>
                <w:rFonts w:ascii="Times New Roman" w:hAnsi="Times New Roman"/>
                <w:sz w:val="24"/>
                <w:szCs w:val="24"/>
              </w:rPr>
              <w:t>Так, п</w:t>
            </w:r>
            <w:r w:rsidR="00060E52">
              <w:rPr>
                <w:rFonts w:ascii="Times New Roman" w:hAnsi="Times New Roman"/>
                <w:sz w:val="24"/>
                <w:szCs w:val="24"/>
              </w:rPr>
              <w:t>ункт</w:t>
            </w:r>
            <w:r w:rsidRPr="00707D30">
              <w:rPr>
                <w:rFonts w:ascii="Times New Roman" w:hAnsi="Times New Roman"/>
                <w:sz w:val="24"/>
                <w:szCs w:val="24"/>
              </w:rPr>
              <w:t xml:space="preserve"> 1.1 ст. 8.2 Закона предусматривает открытие депозитарием для учёта цифровых прав счетов депо владельца. Однако в Положении упоминается только счёт депо владельца, предназначенный для учёта прав на ценные бумаги.</w:t>
            </w:r>
          </w:p>
          <w:p w14:paraId="6798617B" w14:textId="1F5DDE96" w:rsidR="00707D30" w:rsidRPr="00707D30" w:rsidRDefault="00707D30" w:rsidP="0026471D">
            <w:pPr>
              <w:pStyle w:val="a7"/>
              <w:spacing w:after="0" w:line="240" w:lineRule="auto"/>
              <w:ind w:left="0"/>
              <w:jc w:val="both"/>
              <w:rPr>
                <w:rFonts w:ascii="Times New Roman" w:hAnsi="Times New Roman"/>
                <w:sz w:val="24"/>
                <w:szCs w:val="24"/>
              </w:rPr>
            </w:pPr>
            <w:r w:rsidRPr="00707D30">
              <w:rPr>
                <w:rFonts w:ascii="Times New Roman" w:hAnsi="Times New Roman"/>
                <w:sz w:val="24"/>
                <w:szCs w:val="24"/>
              </w:rPr>
              <w:lastRenderedPageBreak/>
              <w:t>Более того, в то время как п</w:t>
            </w:r>
            <w:r w:rsidR="00060E52">
              <w:rPr>
                <w:rFonts w:ascii="Times New Roman" w:hAnsi="Times New Roman"/>
                <w:sz w:val="24"/>
                <w:szCs w:val="24"/>
              </w:rPr>
              <w:t>ункт</w:t>
            </w:r>
            <w:r w:rsidRPr="00707D30">
              <w:rPr>
                <w:rFonts w:ascii="Times New Roman" w:hAnsi="Times New Roman"/>
                <w:sz w:val="24"/>
                <w:szCs w:val="24"/>
              </w:rPr>
              <w:t xml:space="preserve"> 1.1 ст. 8.2 Закона закрепляет ограниченный режим счёта депо владельца, предназначенного для учёта цифровых прав — в частности, невозможность фиксации обременения на этом счёте, — Положение прямо предусматривает фиксацию обременения путём внесения соответствующей записи по счёту депо (п</w:t>
            </w:r>
            <w:r w:rsidR="00060E52">
              <w:rPr>
                <w:rFonts w:ascii="Times New Roman" w:hAnsi="Times New Roman"/>
                <w:sz w:val="24"/>
                <w:szCs w:val="24"/>
              </w:rPr>
              <w:t>ункт</w:t>
            </w:r>
            <w:r w:rsidRPr="00707D30">
              <w:rPr>
                <w:rFonts w:ascii="Times New Roman" w:hAnsi="Times New Roman"/>
                <w:sz w:val="24"/>
                <w:szCs w:val="24"/>
              </w:rPr>
              <w:t xml:space="preserve"> 8.1 Положения).</w:t>
            </w:r>
          </w:p>
          <w:p w14:paraId="7B70BFFB" w14:textId="77777777" w:rsidR="00CB6B10" w:rsidRDefault="00707D30" w:rsidP="0026471D">
            <w:pPr>
              <w:pStyle w:val="a7"/>
              <w:spacing w:after="0" w:line="240" w:lineRule="auto"/>
              <w:ind w:left="0"/>
              <w:jc w:val="both"/>
              <w:rPr>
                <w:rFonts w:ascii="Times New Roman" w:hAnsi="Times New Roman"/>
                <w:sz w:val="24"/>
                <w:szCs w:val="24"/>
              </w:rPr>
            </w:pPr>
            <w:r w:rsidRPr="00707D30">
              <w:rPr>
                <w:rFonts w:ascii="Times New Roman" w:hAnsi="Times New Roman"/>
                <w:sz w:val="24"/>
                <w:szCs w:val="24"/>
              </w:rPr>
              <w:t>Таким образом, на настоящий момент Положение в принципе не применимо к счетам депо владельца, используемым для учёта цифровых прав. В связи с этим все вопросы, урегулированные в нём применительно к счетам депо для учёта ценных бумаг, на настоящий момент необходимо будет урегулировать в депозитарном договоре, что означает отсутствие единого подхода как к учёту депонированных цифровых прав, так и к порядку взаимодействия между депонентом, депозитарием и эмитентом цифрового права (к примеру, в части порядка выполнения депозитарием указаний депонента или передачи последнему информации, касающейся депонированных цифровых прав).</w:t>
            </w:r>
          </w:p>
          <w:p w14:paraId="1A501096" w14:textId="77777777" w:rsidR="00B64D21" w:rsidRDefault="00B64D21" w:rsidP="009E3B5C">
            <w:pPr>
              <w:pStyle w:val="a7"/>
              <w:numPr>
                <w:ilvl w:val="0"/>
                <w:numId w:val="3"/>
              </w:numPr>
              <w:spacing w:after="0" w:line="240" w:lineRule="auto"/>
              <w:ind w:left="0" w:firstLine="0"/>
              <w:jc w:val="both"/>
              <w:rPr>
                <w:rFonts w:ascii="Times New Roman" w:hAnsi="Times New Roman"/>
                <w:sz w:val="24"/>
                <w:szCs w:val="24"/>
              </w:rPr>
            </w:pPr>
            <w:r w:rsidRPr="00B64D21">
              <w:rPr>
                <w:rFonts w:ascii="Times New Roman" w:hAnsi="Times New Roman"/>
                <w:sz w:val="24"/>
                <w:szCs w:val="24"/>
              </w:rPr>
              <w:t xml:space="preserve">Проект не предполагает конкретизации требований Положения и в связи с вступлением в силу Федерального закона от 02.08.2019 №259-ФЗ «О привлечении инвестиций с использованием </w:t>
            </w:r>
            <w:r w:rsidRPr="00B64D21">
              <w:rPr>
                <w:rFonts w:ascii="Times New Roman" w:hAnsi="Times New Roman"/>
                <w:sz w:val="24"/>
                <w:szCs w:val="24"/>
              </w:rPr>
              <w:lastRenderedPageBreak/>
              <w:t>инвестиционных платформ и о внесении изменений в отдельные законодательные акты Российской Федерации» (далее — «Закон 259-ФЗ»). Между тем ст. 9 Закона 259-ФЗ, по сути, закрепляет ещё одну разновидность счёта депо — счёт депо «приобретателя цифрового свидетельства» (см. п. 2 ст. 9 Закона 259-ФЗ»), устанавливая специальные требования к корреспонденции (пп. 2, 10) и режиму этого счёта (пп. 2, 3, 11 ст. 9 Закона 259-ФЗ).</w:t>
            </w:r>
          </w:p>
          <w:p w14:paraId="69FB88BC" w14:textId="77777777" w:rsidR="008219B3" w:rsidRDefault="008219B3" w:rsidP="009E3B5C">
            <w:pPr>
              <w:pStyle w:val="a7"/>
              <w:numPr>
                <w:ilvl w:val="0"/>
                <w:numId w:val="3"/>
              </w:numPr>
              <w:spacing w:after="0" w:line="240" w:lineRule="auto"/>
              <w:ind w:left="0" w:firstLine="0"/>
              <w:jc w:val="both"/>
              <w:rPr>
                <w:rFonts w:ascii="Times New Roman" w:hAnsi="Times New Roman"/>
                <w:b/>
                <w:bCs/>
                <w:sz w:val="24"/>
                <w:szCs w:val="24"/>
              </w:rPr>
            </w:pPr>
            <w:r w:rsidRPr="008219B3">
              <w:rPr>
                <w:rFonts w:ascii="Times New Roman" w:hAnsi="Times New Roman"/>
                <w:b/>
                <w:bCs/>
                <w:sz w:val="24"/>
                <w:szCs w:val="24"/>
              </w:rPr>
              <w:t>Вопрос</w:t>
            </w:r>
          </w:p>
          <w:p w14:paraId="4E66E4D2" w14:textId="59C3D17A" w:rsidR="003E0B64" w:rsidRPr="003E0B64" w:rsidRDefault="003E0B64" w:rsidP="003E0B64">
            <w:pPr>
              <w:pStyle w:val="a7"/>
              <w:spacing w:after="0" w:line="240" w:lineRule="auto"/>
              <w:ind w:left="0"/>
              <w:jc w:val="both"/>
              <w:rPr>
                <w:rFonts w:ascii="Times New Roman" w:hAnsi="Times New Roman"/>
                <w:sz w:val="24"/>
                <w:szCs w:val="24"/>
              </w:rPr>
            </w:pPr>
            <w:r>
              <w:rPr>
                <w:rFonts w:ascii="Times New Roman" w:hAnsi="Times New Roman"/>
                <w:sz w:val="24"/>
                <w:szCs w:val="24"/>
              </w:rPr>
              <w:t>П</w:t>
            </w:r>
            <w:r w:rsidRPr="003E0B64">
              <w:rPr>
                <w:rFonts w:ascii="Times New Roman" w:hAnsi="Times New Roman"/>
                <w:sz w:val="24"/>
                <w:szCs w:val="24"/>
              </w:rPr>
              <w:t xml:space="preserve">роект </w:t>
            </w:r>
            <w:r>
              <w:rPr>
                <w:rFonts w:ascii="Times New Roman" w:hAnsi="Times New Roman"/>
                <w:sz w:val="24"/>
                <w:szCs w:val="24"/>
              </w:rPr>
              <w:t xml:space="preserve">Указания </w:t>
            </w:r>
            <w:r w:rsidRPr="003E0B64">
              <w:rPr>
                <w:rFonts w:ascii="Times New Roman" w:hAnsi="Times New Roman"/>
                <w:sz w:val="24"/>
                <w:szCs w:val="24"/>
              </w:rPr>
              <w:t xml:space="preserve">устанавливает порядок открытия и особенности ведения нового пассивного счета – счета депо эскроу-агента, с учетом требований пункта 8 статьи 516 Закона о рынке ценных бумаг.  </w:t>
            </w:r>
          </w:p>
          <w:p w14:paraId="193A1B52" w14:textId="41B5ACCD" w:rsidR="005062C3" w:rsidRDefault="003E0B64" w:rsidP="003E0B64">
            <w:pPr>
              <w:pStyle w:val="a7"/>
              <w:spacing w:after="0" w:line="240" w:lineRule="auto"/>
              <w:ind w:left="0"/>
              <w:jc w:val="both"/>
              <w:rPr>
                <w:rFonts w:ascii="Times New Roman" w:hAnsi="Times New Roman"/>
                <w:sz w:val="24"/>
                <w:szCs w:val="24"/>
              </w:rPr>
            </w:pPr>
            <w:r w:rsidRPr="003E0B64">
              <w:rPr>
                <w:rFonts w:ascii="Times New Roman" w:hAnsi="Times New Roman"/>
                <w:sz w:val="24"/>
                <w:szCs w:val="24"/>
              </w:rPr>
              <w:t>Пр</w:t>
            </w:r>
            <w:r w:rsidR="005062C3">
              <w:rPr>
                <w:rFonts w:ascii="Times New Roman" w:hAnsi="Times New Roman"/>
                <w:sz w:val="24"/>
                <w:szCs w:val="24"/>
              </w:rPr>
              <w:t>авильно ли понимать</w:t>
            </w:r>
            <w:r w:rsidRPr="003E0B64">
              <w:rPr>
                <w:rFonts w:ascii="Times New Roman" w:hAnsi="Times New Roman"/>
                <w:sz w:val="24"/>
                <w:szCs w:val="24"/>
              </w:rPr>
              <w:t>, что одна и так же организация не сможет выступать одновременно и как депозитарий и как эскроу агент в отношении одних и тех же ценных бумаг</w:t>
            </w:r>
            <w:r w:rsidR="005062C3">
              <w:rPr>
                <w:rFonts w:ascii="Times New Roman" w:hAnsi="Times New Roman"/>
                <w:sz w:val="24"/>
                <w:szCs w:val="24"/>
              </w:rPr>
              <w:t xml:space="preserve">? </w:t>
            </w:r>
            <w:r w:rsidR="00B714B1">
              <w:rPr>
                <w:rFonts w:ascii="Times New Roman" w:hAnsi="Times New Roman"/>
                <w:sz w:val="24"/>
                <w:szCs w:val="24"/>
              </w:rPr>
              <w:t>П</w:t>
            </w:r>
            <w:r w:rsidRPr="003E0B64">
              <w:rPr>
                <w:rFonts w:ascii="Times New Roman" w:hAnsi="Times New Roman"/>
                <w:sz w:val="24"/>
                <w:szCs w:val="24"/>
              </w:rPr>
              <w:t>редполагается</w:t>
            </w:r>
            <w:r w:rsidR="005062C3">
              <w:rPr>
                <w:rFonts w:ascii="Times New Roman" w:hAnsi="Times New Roman"/>
                <w:sz w:val="24"/>
                <w:szCs w:val="24"/>
              </w:rPr>
              <w:t>,</w:t>
            </w:r>
            <w:r w:rsidRPr="003E0B64">
              <w:rPr>
                <w:rFonts w:ascii="Times New Roman" w:hAnsi="Times New Roman"/>
                <w:sz w:val="24"/>
                <w:szCs w:val="24"/>
              </w:rPr>
              <w:t xml:space="preserve"> что эскроу агент</w:t>
            </w:r>
            <w:r w:rsidR="005062C3">
              <w:rPr>
                <w:rFonts w:ascii="Times New Roman" w:hAnsi="Times New Roman"/>
                <w:sz w:val="24"/>
                <w:szCs w:val="24"/>
              </w:rPr>
              <w:t>,</w:t>
            </w:r>
            <w:r w:rsidRPr="003E0B64">
              <w:rPr>
                <w:rFonts w:ascii="Times New Roman" w:hAnsi="Times New Roman"/>
                <w:sz w:val="24"/>
                <w:szCs w:val="24"/>
              </w:rPr>
              <w:t xml:space="preserve"> это всегда некое третье лицо</w:t>
            </w:r>
            <w:r w:rsidR="005062C3">
              <w:rPr>
                <w:rFonts w:ascii="Times New Roman" w:hAnsi="Times New Roman"/>
                <w:sz w:val="24"/>
                <w:szCs w:val="24"/>
              </w:rPr>
              <w:t>,</w:t>
            </w:r>
            <w:r w:rsidRPr="003E0B64">
              <w:rPr>
                <w:rFonts w:ascii="Times New Roman" w:hAnsi="Times New Roman"/>
                <w:sz w:val="24"/>
                <w:szCs w:val="24"/>
              </w:rPr>
              <w:t xml:space="preserve"> открывающее счет в депозитарии и депозитарий</w:t>
            </w:r>
            <w:r w:rsidR="00736B5F">
              <w:rPr>
                <w:rFonts w:ascii="Times New Roman" w:hAnsi="Times New Roman"/>
                <w:sz w:val="24"/>
                <w:szCs w:val="24"/>
              </w:rPr>
              <w:t>,</w:t>
            </w:r>
            <w:r w:rsidRPr="003E0B64">
              <w:rPr>
                <w:rFonts w:ascii="Times New Roman" w:hAnsi="Times New Roman"/>
                <w:sz w:val="24"/>
                <w:szCs w:val="24"/>
              </w:rPr>
              <w:t xml:space="preserve"> никогда не сможет быть эскроу агентом и выполнять обе роли одновременно. </w:t>
            </w:r>
          </w:p>
          <w:p w14:paraId="14175160" w14:textId="1EF1CF40" w:rsidR="003E0B64" w:rsidRPr="003E0B64" w:rsidRDefault="003E0B64" w:rsidP="003E0B64">
            <w:pPr>
              <w:pStyle w:val="a7"/>
              <w:spacing w:after="0" w:line="240" w:lineRule="auto"/>
              <w:ind w:left="0"/>
              <w:jc w:val="both"/>
              <w:rPr>
                <w:rFonts w:ascii="Times New Roman" w:hAnsi="Times New Roman"/>
                <w:sz w:val="24"/>
                <w:szCs w:val="24"/>
              </w:rPr>
            </w:pPr>
            <w:r w:rsidRPr="003E0B64">
              <w:rPr>
                <w:rFonts w:ascii="Times New Roman" w:hAnsi="Times New Roman"/>
                <w:sz w:val="24"/>
                <w:szCs w:val="24"/>
              </w:rPr>
              <w:t xml:space="preserve">Если </w:t>
            </w:r>
            <w:r w:rsidR="00B714B1">
              <w:rPr>
                <w:rFonts w:ascii="Times New Roman" w:hAnsi="Times New Roman"/>
                <w:sz w:val="24"/>
                <w:szCs w:val="24"/>
              </w:rPr>
              <w:t>такое</w:t>
            </w:r>
            <w:r w:rsidRPr="003E0B64">
              <w:rPr>
                <w:rFonts w:ascii="Times New Roman" w:hAnsi="Times New Roman"/>
                <w:sz w:val="24"/>
                <w:szCs w:val="24"/>
              </w:rPr>
              <w:t xml:space="preserve"> понимание верно, то в </w:t>
            </w:r>
            <w:r w:rsidR="00B714B1">
              <w:rPr>
                <w:rFonts w:ascii="Times New Roman" w:hAnsi="Times New Roman"/>
                <w:sz w:val="24"/>
                <w:szCs w:val="24"/>
              </w:rPr>
              <w:t>п</w:t>
            </w:r>
            <w:r w:rsidRPr="003E0B64">
              <w:rPr>
                <w:rFonts w:ascii="Times New Roman" w:hAnsi="Times New Roman"/>
                <w:sz w:val="24"/>
                <w:szCs w:val="24"/>
              </w:rPr>
              <w:t>роекте</w:t>
            </w:r>
            <w:r w:rsidR="00B714B1">
              <w:rPr>
                <w:rFonts w:ascii="Times New Roman" w:hAnsi="Times New Roman"/>
                <w:sz w:val="24"/>
                <w:szCs w:val="24"/>
              </w:rPr>
              <w:t xml:space="preserve"> Указания</w:t>
            </w:r>
            <w:r w:rsidRPr="003E0B64">
              <w:rPr>
                <w:rFonts w:ascii="Times New Roman" w:hAnsi="Times New Roman"/>
                <w:sz w:val="24"/>
                <w:szCs w:val="24"/>
              </w:rPr>
              <w:t xml:space="preserve"> допущено критическое отклонение от международной практики, искажающее сам смысл эскроу счетов и привносящее значительно более высокие риски в </w:t>
            </w:r>
            <w:r w:rsidRPr="003E0B64">
              <w:rPr>
                <w:rFonts w:ascii="Times New Roman" w:hAnsi="Times New Roman"/>
                <w:sz w:val="24"/>
                <w:szCs w:val="24"/>
              </w:rPr>
              <w:lastRenderedPageBreak/>
              <w:t>осуществление операций с применением эскроу счетов как для владельцев имущества участников находящегося на эскроу счетах, так и исполнителей операций.</w:t>
            </w:r>
          </w:p>
        </w:tc>
      </w:tr>
      <w:tr w:rsidR="00153EBD" w:rsidRPr="00A15536" w14:paraId="5D6F74B4" w14:textId="77777777" w:rsidTr="008E1A55">
        <w:tc>
          <w:tcPr>
            <w:tcW w:w="973" w:type="dxa"/>
          </w:tcPr>
          <w:p w14:paraId="0051F4C7" w14:textId="2F6D21FA" w:rsidR="00153EBD" w:rsidRPr="00A15536" w:rsidRDefault="00786F61" w:rsidP="00631E9E">
            <w:pPr>
              <w:spacing w:after="0" w:line="240" w:lineRule="auto"/>
              <w:jc w:val="both"/>
              <w:rPr>
                <w:rFonts w:ascii="Times New Roman" w:hAnsi="Times New Roman"/>
                <w:sz w:val="24"/>
                <w:szCs w:val="24"/>
              </w:rPr>
            </w:pPr>
            <w:r>
              <w:rPr>
                <w:rFonts w:ascii="Times New Roman" w:hAnsi="Times New Roman"/>
                <w:sz w:val="24"/>
                <w:szCs w:val="24"/>
              </w:rPr>
              <w:lastRenderedPageBreak/>
              <w:t>2.</w:t>
            </w:r>
          </w:p>
        </w:tc>
        <w:tc>
          <w:tcPr>
            <w:tcW w:w="2991" w:type="dxa"/>
          </w:tcPr>
          <w:p w14:paraId="6328214D" w14:textId="2545710E" w:rsidR="00153EBD" w:rsidRPr="0008350F" w:rsidRDefault="00153EBD" w:rsidP="00631E9E">
            <w:pPr>
              <w:spacing w:after="0" w:line="240" w:lineRule="auto"/>
              <w:jc w:val="both"/>
              <w:rPr>
                <w:rFonts w:ascii="Times New Roman" w:hAnsi="Times New Roman"/>
                <w:sz w:val="24"/>
                <w:szCs w:val="24"/>
              </w:rPr>
            </w:pPr>
            <w:r w:rsidRPr="00153EBD">
              <w:rPr>
                <w:rFonts w:ascii="Times New Roman" w:hAnsi="Times New Roman"/>
                <w:sz w:val="24"/>
                <w:szCs w:val="24"/>
              </w:rPr>
              <w:t>Пункт 1.</w:t>
            </w:r>
            <w:r>
              <w:rPr>
                <w:rFonts w:ascii="Times New Roman" w:hAnsi="Times New Roman"/>
                <w:sz w:val="24"/>
                <w:szCs w:val="24"/>
              </w:rPr>
              <w:t>5</w:t>
            </w:r>
            <w:r w:rsidRPr="00153EBD">
              <w:rPr>
                <w:rFonts w:ascii="Times New Roman" w:hAnsi="Times New Roman"/>
                <w:sz w:val="24"/>
                <w:szCs w:val="24"/>
              </w:rPr>
              <w:t xml:space="preserve"> проекта Указания</w:t>
            </w:r>
          </w:p>
        </w:tc>
        <w:tc>
          <w:tcPr>
            <w:tcW w:w="5954" w:type="dxa"/>
          </w:tcPr>
          <w:p w14:paraId="6AB7598F" w14:textId="77777777" w:rsidR="00153EBD" w:rsidRDefault="003E295D" w:rsidP="0045029A">
            <w:pPr>
              <w:spacing w:after="0" w:line="240" w:lineRule="auto"/>
              <w:jc w:val="both"/>
              <w:rPr>
                <w:rFonts w:ascii="Times New Roman" w:hAnsi="Times New Roman"/>
                <w:b/>
                <w:bCs/>
                <w:sz w:val="24"/>
                <w:szCs w:val="24"/>
              </w:rPr>
            </w:pPr>
            <w:r>
              <w:rPr>
                <w:rFonts w:ascii="Times New Roman" w:hAnsi="Times New Roman"/>
                <w:b/>
                <w:bCs/>
                <w:sz w:val="24"/>
                <w:szCs w:val="24"/>
              </w:rPr>
              <w:t>Предложение.</w:t>
            </w:r>
          </w:p>
          <w:p w14:paraId="32A730E2" w14:textId="07CB46C2" w:rsidR="003E295D" w:rsidRPr="003E295D" w:rsidRDefault="004D47F3" w:rsidP="003E295D">
            <w:pPr>
              <w:spacing w:after="0" w:line="240" w:lineRule="auto"/>
              <w:jc w:val="both"/>
              <w:rPr>
                <w:rFonts w:ascii="Times New Roman" w:hAnsi="Times New Roman"/>
                <w:sz w:val="24"/>
                <w:szCs w:val="24"/>
              </w:rPr>
            </w:pPr>
            <w:r>
              <w:rPr>
                <w:rFonts w:ascii="Times New Roman" w:hAnsi="Times New Roman"/>
                <w:sz w:val="24"/>
                <w:szCs w:val="24"/>
              </w:rPr>
              <w:t xml:space="preserve">Пункт </w:t>
            </w:r>
            <w:r w:rsidR="003E295D" w:rsidRPr="003E295D">
              <w:rPr>
                <w:rFonts w:ascii="Times New Roman" w:hAnsi="Times New Roman"/>
                <w:sz w:val="24"/>
                <w:szCs w:val="24"/>
              </w:rPr>
              <w:t>2.2.</w:t>
            </w:r>
            <w:r w:rsidR="00FA2B35">
              <w:rPr>
                <w:rFonts w:ascii="Times New Roman" w:hAnsi="Times New Roman"/>
                <w:sz w:val="24"/>
                <w:szCs w:val="24"/>
              </w:rPr>
              <w:t xml:space="preserve"> </w:t>
            </w:r>
            <w:r>
              <w:rPr>
                <w:rFonts w:ascii="Times New Roman" w:hAnsi="Times New Roman"/>
                <w:sz w:val="24"/>
                <w:szCs w:val="24"/>
              </w:rPr>
              <w:t>Положения целесообразно изложить в следующей редакции: «</w:t>
            </w:r>
            <w:r w:rsidR="003E295D" w:rsidRPr="003E295D">
              <w:rPr>
                <w:rFonts w:ascii="Times New Roman" w:hAnsi="Times New Roman"/>
                <w:sz w:val="24"/>
                <w:szCs w:val="24"/>
              </w:rPr>
              <w:t>Депозитарий может открывать следующие счета, не предназначенные для учета прав на ценные бумаги:</w:t>
            </w:r>
          </w:p>
          <w:p w14:paraId="530B27DD" w14:textId="77777777" w:rsidR="003E295D" w:rsidRPr="003E295D" w:rsidRDefault="003E295D" w:rsidP="003E295D">
            <w:pPr>
              <w:spacing w:after="0" w:line="240" w:lineRule="auto"/>
              <w:jc w:val="both"/>
              <w:rPr>
                <w:rFonts w:ascii="Times New Roman" w:hAnsi="Times New Roman"/>
                <w:sz w:val="24"/>
                <w:szCs w:val="24"/>
              </w:rPr>
            </w:pPr>
            <w:r w:rsidRPr="003E295D">
              <w:rPr>
                <w:rFonts w:ascii="Times New Roman" w:hAnsi="Times New Roman"/>
                <w:sz w:val="24"/>
                <w:szCs w:val="24"/>
              </w:rPr>
              <w:t>счет неустановленных лиц;</w:t>
            </w:r>
          </w:p>
          <w:p w14:paraId="6E053A59" w14:textId="77777777" w:rsidR="003E295D" w:rsidRPr="003E295D" w:rsidRDefault="003E295D" w:rsidP="003E295D">
            <w:pPr>
              <w:spacing w:after="0" w:line="240" w:lineRule="auto"/>
              <w:jc w:val="both"/>
              <w:rPr>
                <w:rFonts w:ascii="Times New Roman" w:hAnsi="Times New Roman"/>
                <w:sz w:val="24"/>
                <w:szCs w:val="24"/>
              </w:rPr>
            </w:pPr>
            <w:r w:rsidRPr="003E295D">
              <w:rPr>
                <w:rFonts w:ascii="Times New Roman" w:hAnsi="Times New Roman"/>
                <w:sz w:val="24"/>
                <w:szCs w:val="24"/>
              </w:rPr>
              <w:t>эмиссионный счет;</w:t>
            </w:r>
          </w:p>
          <w:p w14:paraId="599C6C34" w14:textId="77777777" w:rsidR="003E295D" w:rsidRPr="003E295D" w:rsidRDefault="003E295D" w:rsidP="003E295D">
            <w:pPr>
              <w:spacing w:after="0" w:line="240" w:lineRule="auto"/>
              <w:jc w:val="both"/>
              <w:rPr>
                <w:rFonts w:ascii="Times New Roman" w:hAnsi="Times New Roman"/>
                <w:sz w:val="24"/>
                <w:szCs w:val="24"/>
              </w:rPr>
            </w:pPr>
            <w:r w:rsidRPr="003E295D">
              <w:rPr>
                <w:rFonts w:ascii="Times New Roman" w:hAnsi="Times New Roman"/>
                <w:sz w:val="24"/>
                <w:szCs w:val="24"/>
              </w:rPr>
              <w:t>счет брокера, предназначенный для учета эмиссионных ценных бумаг при их размещении (далее - счет брокера);</w:t>
            </w:r>
          </w:p>
          <w:p w14:paraId="60EFFB1A" w14:textId="77777777" w:rsidR="003E295D" w:rsidRPr="003E295D" w:rsidRDefault="003E295D" w:rsidP="003E295D">
            <w:pPr>
              <w:spacing w:after="0" w:line="240" w:lineRule="auto"/>
              <w:jc w:val="both"/>
              <w:rPr>
                <w:rFonts w:ascii="Times New Roman" w:hAnsi="Times New Roman"/>
                <w:sz w:val="24"/>
                <w:szCs w:val="24"/>
              </w:rPr>
            </w:pPr>
            <w:r w:rsidRPr="003E295D">
              <w:rPr>
                <w:rFonts w:ascii="Times New Roman" w:hAnsi="Times New Roman"/>
                <w:sz w:val="24"/>
                <w:szCs w:val="24"/>
              </w:rPr>
              <w:t>счет клиентов номинальных держателей;</w:t>
            </w:r>
          </w:p>
          <w:p w14:paraId="71810A14" w14:textId="77777777" w:rsidR="003E295D" w:rsidRPr="003E295D" w:rsidRDefault="003E295D" w:rsidP="003E295D">
            <w:pPr>
              <w:spacing w:after="0" w:line="240" w:lineRule="auto"/>
              <w:jc w:val="both"/>
              <w:rPr>
                <w:rFonts w:ascii="Times New Roman" w:hAnsi="Times New Roman"/>
                <w:sz w:val="24"/>
                <w:szCs w:val="24"/>
              </w:rPr>
            </w:pPr>
            <w:r w:rsidRPr="003E295D">
              <w:rPr>
                <w:rFonts w:ascii="Times New Roman" w:hAnsi="Times New Roman"/>
                <w:sz w:val="24"/>
                <w:szCs w:val="24"/>
              </w:rPr>
              <w:t>специальный технический счет;</w:t>
            </w:r>
          </w:p>
          <w:p w14:paraId="7E6CA835" w14:textId="77777777" w:rsidR="003E295D" w:rsidRPr="003E295D" w:rsidRDefault="003E295D" w:rsidP="003E295D">
            <w:pPr>
              <w:spacing w:after="0" w:line="240" w:lineRule="auto"/>
              <w:jc w:val="both"/>
              <w:rPr>
                <w:rFonts w:ascii="Times New Roman" w:hAnsi="Times New Roman"/>
                <w:sz w:val="24"/>
                <w:szCs w:val="24"/>
              </w:rPr>
            </w:pPr>
            <w:r w:rsidRPr="003E295D">
              <w:rPr>
                <w:rFonts w:ascii="Times New Roman" w:hAnsi="Times New Roman"/>
                <w:sz w:val="24"/>
                <w:szCs w:val="24"/>
              </w:rPr>
              <w:t>счет ценных бумаг депонентов;</w:t>
            </w:r>
          </w:p>
          <w:p w14:paraId="297DFEB4" w14:textId="77777777" w:rsidR="003E295D" w:rsidRPr="003E295D" w:rsidRDefault="003E295D" w:rsidP="003E295D">
            <w:pPr>
              <w:spacing w:after="0" w:line="240" w:lineRule="auto"/>
              <w:jc w:val="both"/>
              <w:rPr>
                <w:rFonts w:ascii="Times New Roman" w:hAnsi="Times New Roman"/>
                <w:sz w:val="24"/>
                <w:szCs w:val="24"/>
              </w:rPr>
            </w:pPr>
            <w:r w:rsidRPr="003E295D">
              <w:rPr>
                <w:rFonts w:ascii="Times New Roman" w:hAnsi="Times New Roman"/>
                <w:sz w:val="24"/>
                <w:szCs w:val="24"/>
              </w:rPr>
              <w:t>обеспечительный счет ценных бумаг депонентов;</w:t>
            </w:r>
          </w:p>
          <w:p w14:paraId="61A10632" w14:textId="77777777" w:rsidR="003E295D" w:rsidRPr="003E295D" w:rsidRDefault="003E295D" w:rsidP="003E295D">
            <w:pPr>
              <w:spacing w:after="0" w:line="240" w:lineRule="auto"/>
              <w:jc w:val="both"/>
              <w:rPr>
                <w:rFonts w:ascii="Times New Roman" w:hAnsi="Times New Roman"/>
                <w:sz w:val="24"/>
                <w:szCs w:val="24"/>
              </w:rPr>
            </w:pPr>
            <w:r w:rsidRPr="003E295D">
              <w:rPr>
                <w:rFonts w:ascii="Times New Roman" w:hAnsi="Times New Roman"/>
                <w:sz w:val="24"/>
                <w:szCs w:val="24"/>
              </w:rPr>
              <w:t>счет документарных ценных бумаг;</w:t>
            </w:r>
          </w:p>
          <w:p w14:paraId="15926ADB" w14:textId="604F3C95" w:rsidR="003E295D" w:rsidRPr="00844394" w:rsidRDefault="003E295D" w:rsidP="003E295D">
            <w:pPr>
              <w:spacing w:after="0" w:line="240" w:lineRule="auto"/>
              <w:jc w:val="both"/>
              <w:rPr>
                <w:rFonts w:ascii="Times New Roman" w:hAnsi="Times New Roman"/>
                <w:b/>
                <w:bCs/>
                <w:sz w:val="24"/>
                <w:szCs w:val="24"/>
              </w:rPr>
            </w:pPr>
            <w:r w:rsidRPr="003E295D">
              <w:rPr>
                <w:rFonts w:ascii="Times New Roman" w:hAnsi="Times New Roman"/>
                <w:sz w:val="24"/>
                <w:szCs w:val="24"/>
              </w:rPr>
              <w:t>счет хранения бездокументарных ценных бумаг, предназначенный для учета электронных документов, хранение которых осуществляет депозитарий, закрепляющих права по бездокументарным ценным бумагам (далее - счет хранения бездокументарных ценных бумаг)</w:t>
            </w:r>
            <w:r w:rsidR="004D47F3">
              <w:rPr>
                <w:rFonts w:ascii="Times New Roman" w:hAnsi="Times New Roman"/>
                <w:sz w:val="24"/>
                <w:szCs w:val="24"/>
              </w:rPr>
              <w:t>».</w:t>
            </w:r>
          </w:p>
        </w:tc>
        <w:tc>
          <w:tcPr>
            <w:tcW w:w="4819" w:type="dxa"/>
          </w:tcPr>
          <w:p w14:paraId="2D1A1A4B" w14:textId="0628D2F5" w:rsidR="00153EBD" w:rsidRPr="00E75275" w:rsidRDefault="00FA2B35" w:rsidP="003E295D">
            <w:pPr>
              <w:pStyle w:val="a7"/>
              <w:spacing w:after="0" w:line="240" w:lineRule="auto"/>
              <w:ind w:left="0"/>
              <w:jc w:val="both"/>
              <w:rPr>
                <w:rFonts w:ascii="Times New Roman" w:hAnsi="Times New Roman"/>
                <w:sz w:val="24"/>
                <w:szCs w:val="24"/>
              </w:rPr>
            </w:pPr>
            <w:r w:rsidRPr="00FA2B35">
              <w:rPr>
                <w:rFonts w:ascii="Times New Roman" w:hAnsi="Times New Roman"/>
                <w:sz w:val="24"/>
                <w:szCs w:val="24"/>
              </w:rPr>
              <w:t>Специальный технический счет, не предназначенный для учета прав на ценные бумаги, предусмотрен Приказом ФСФР от 15.03.2012 г. № 12-12/пз-н и может использоваться для исполнения обязательств по итогам клиринга по ценным бумагам без участия центрального контрагента. Операции по указанному счету осуществляются на основании поручений клиринговой организации.</w:t>
            </w:r>
          </w:p>
        </w:tc>
      </w:tr>
      <w:tr w:rsidR="00DC28C0" w:rsidRPr="00A15536" w14:paraId="1E5A4899" w14:textId="77777777" w:rsidTr="008E1A55">
        <w:tc>
          <w:tcPr>
            <w:tcW w:w="973" w:type="dxa"/>
          </w:tcPr>
          <w:p w14:paraId="309ECC7E" w14:textId="08E645EE" w:rsidR="00DC28C0" w:rsidRPr="00A15536" w:rsidRDefault="00786F61" w:rsidP="00631E9E">
            <w:pPr>
              <w:spacing w:after="0" w:line="240" w:lineRule="auto"/>
              <w:jc w:val="both"/>
              <w:rPr>
                <w:rFonts w:ascii="Times New Roman" w:hAnsi="Times New Roman"/>
                <w:sz w:val="24"/>
                <w:szCs w:val="24"/>
              </w:rPr>
            </w:pPr>
            <w:r>
              <w:rPr>
                <w:rFonts w:ascii="Times New Roman" w:hAnsi="Times New Roman"/>
                <w:sz w:val="24"/>
                <w:szCs w:val="24"/>
              </w:rPr>
              <w:t>3.</w:t>
            </w:r>
          </w:p>
        </w:tc>
        <w:tc>
          <w:tcPr>
            <w:tcW w:w="2991" w:type="dxa"/>
          </w:tcPr>
          <w:p w14:paraId="5717C57B" w14:textId="37B07374" w:rsidR="00DC28C0" w:rsidRPr="00153EBD" w:rsidRDefault="00DC28C0" w:rsidP="00631E9E">
            <w:pPr>
              <w:spacing w:after="0" w:line="240" w:lineRule="auto"/>
              <w:jc w:val="both"/>
              <w:rPr>
                <w:rFonts w:ascii="Times New Roman" w:hAnsi="Times New Roman"/>
                <w:sz w:val="24"/>
                <w:szCs w:val="24"/>
              </w:rPr>
            </w:pPr>
            <w:r w:rsidRPr="00DC28C0">
              <w:rPr>
                <w:rFonts w:ascii="Times New Roman" w:hAnsi="Times New Roman"/>
                <w:sz w:val="24"/>
                <w:szCs w:val="24"/>
              </w:rPr>
              <w:t>Пункт 1.1</w:t>
            </w:r>
            <w:r>
              <w:rPr>
                <w:rFonts w:ascii="Times New Roman" w:hAnsi="Times New Roman"/>
                <w:sz w:val="24"/>
                <w:szCs w:val="24"/>
              </w:rPr>
              <w:t>1</w:t>
            </w:r>
            <w:r w:rsidRPr="00DC28C0">
              <w:rPr>
                <w:rFonts w:ascii="Times New Roman" w:hAnsi="Times New Roman"/>
                <w:sz w:val="24"/>
                <w:szCs w:val="24"/>
              </w:rPr>
              <w:t xml:space="preserve"> проекта Указания</w:t>
            </w:r>
          </w:p>
        </w:tc>
        <w:tc>
          <w:tcPr>
            <w:tcW w:w="5954" w:type="dxa"/>
          </w:tcPr>
          <w:p w14:paraId="4ED22DBA" w14:textId="77777777" w:rsidR="00DC28C0" w:rsidRPr="004601C6" w:rsidRDefault="00034D19" w:rsidP="0045029A">
            <w:pPr>
              <w:spacing w:after="0" w:line="240" w:lineRule="auto"/>
              <w:jc w:val="both"/>
              <w:rPr>
                <w:rFonts w:ascii="Times New Roman" w:hAnsi="Times New Roman"/>
                <w:b/>
                <w:bCs/>
                <w:sz w:val="24"/>
                <w:szCs w:val="24"/>
              </w:rPr>
            </w:pPr>
            <w:r w:rsidRPr="004601C6">
              <w:rPr>
                <w:rFonts w:ascii="Times New Roman" w:hAnsi="Times New Roman"/>
                <w:b/>
                <w:bCs/>
                <w:sz w:val="24"/>
                <w:szCs w:val="24"/>
              </w:rPr>
              <w:t>Предложение.</w:t>
            </w:r>
          </w:p>
          <w:p w14:paraId="5A86A2D1" w14:textId="77777777" w:rsidR="00034D19" w:rsidRPr="00034D19" w:rsidRDefault="00034D19" w:rsidP="00034D19">
            <w:pPr>
              <w:spacing w:after="0" w:line="240" w:lineRule="auto"/>
              <w:jc w:val="both"/>
              <w:rPr>
                <w:rFonts w:ascii="Times New Roman" w:hAnsi="Times New Roman"/>
                <w:sz w:val="24"/>
                <w:szCs w:val="24"/>
              </w:rPr>
            </w:pPr>
            <w:r w:rsidRPr="00034D19">
              <w:rPr>
                <w:rFonts w:ascii="Times New Roman" w:hAnsi="Times New Roman"/>
                <w:sz w:val="24"/>
                <w:szCs w:val="24"/>
              </w:rPr>
              <w:t>Пункт 4.13. Положения изложить в следующей редакции:</w:t>
            </w:r>
          </w:p>
          <w:p w14:paraId="52B95FC2" w14:textId="0ABE90CD" w:rsidR="00034D19" w:rsidRPr="00034D19" w:rsidRDefault="00034D19" w:rsidP="00034D19">
            <w:pPr>
              <w:spacing w:after="0" w:line="240" w:lineRule="auto"/>
              <w:jc w:val="both"/>
              <w:rPr>
                <w:rFonts w:ascii="Times New Roman" w:hAnsi="Times New Roman"/>
                <w:sz w:val="24"/>
                <w:szCs w:val="24"/>
              </w:rPr>
            </w:pPr>
            <w:r w:rsidRPr="00034D19">
              <w:rPr>
                <w:rFonts w:ascii="Times New Roman" w:hAnsi="Times New Roman"/>
                <w:sz w:val="24"/>
                <w:szCs w:val="24"/>
              </w:rPr>
              <w:t>«Счет брокера открывается депозитарием на основании договора с брокером при соблюдении одного из следующих условий:</w:t>
            </w:r>
          </w:p>
          <w:p w14:paraId="2C9B6CD8" w14:textId="77777777" w:rsidR="00034D19" w:rsidRPr="00034D19" w:rsidRDefault="00034D19" w:rsidP="00034D19">
            <w:pPr>
              <w:spacing w:after="0" w:line="240" w:lineRule="auto"/>
              <w:jc w:val="both"/>
              <w:rPr>
                <w:rFonts w:ascii="Times New Roman" w:hAnsi="Times New Roman"/>
                <w:sz w:val="24"/>
                <w:szCs w:val="24"/>
              </w:rPr>
            </w:pPr>
            <w:r w:rsidRPr="00034D19">
              <w:rPr>
                <w:rFonts w:ascii="Times New Roman" w:hAnsi="Times New Roman"/>
                <w:sz w:val="24"/>
                <w:szCs w:val="24"/>
              </w:rPr>
              <w:t xml:space="preserve">депозитарию должен быть открыт лицевой счет номинального держателя в реестре владельцев ценных </w:t>
            </w:r>
            <w:r w:rsidRPr="00034D19">
              <w:rPr>
                <w:rFonts w:ascii="Times New Roman" w:hAnsi="Times New Roman"/>
                <w:sz w:val="24"/>
                <w:szCs w:val="24"/>
              </w:rPr>
              <w:lastRenderedPageBreak/>
              <w:t>бумаг, на который будут зачислены ценные бумаги при их размещении брокером, ‒ при учете прав на ценные бумаги, в отношении которых осуществляется ведение реестра владельцев ценных бумаг;</w:t>
            </w:r>
          </w:p>
          <w:p w14:paraId="61AB6C5D" w14:textId="77777777" w:rsidR="00034D19" w:rsidRPr="00034D19" w:rsidRDefault="00034D19" w:rsidP="00034D19">
            <w:pPr>
              <w:spacing w:after="0" w:line="240" w:lineRule="auto"/>
              <w:jc w:val="both"/>
              <w:rPr>
                <w:rFonts w:ascii="Times New Roman" w:hAnsi="Times New Roman"/>
                <w:sz w:val="24"/>
                <w:szCs w:val="24"/>
              </w:rPr>
            </w:pPr>
            <w:r w:rsidRPr="00034D19">
              <w:rPr>
                <w:rFonts w:ascii="Times New Roman" w:hAnsi="Times New Roman"/>
                <w:sz w:val="24"/>
                <w:szCs w:val="24"/>
              </w:rPr>
              <w:t>депозитарию должен быть открыт счет депо номинального держателя в депозитарии, осуществляющем обязательное централизованное хранение ценных бумаг (централизованный учет прав на ценные бумаги), на который указанные ценные бумаги будут зачислены при их размещении брокером, ‒ при учете прав на ценные бумаги, в отношении которых обязательное централизованное хранение (централизованный учет прав на которые) осуществляется иным депозитарием.</w:t>
            </w:r>
          </w:p>
          <w:p w14:paraId="08691A15" w14:textId="77777777" w:rsidR="00034D19" w:rsidRPr="00034D19" w:rsidRDefault="00034D19" w:rsidP="00034D19">
            <w:pPr>
              <w:spacing w:after="0" w:line="240" w:lineRule="auto"/>
              <w:jc w:val="both"/>
              <w:rPr>
                <w:rFonts w:ascii="Times New Roman" w:hAnsi="Times New Roman"/>
                <w:sz w:val="24"/>
                <w:szCs w:val="24"/>
              </w:rPr>
            </w:pPr>
            <w:r w:rsidRPr="00034D19">
              <w:rPr>
                <w:rFonts w:ascii="Times New Roman" w:hAnsi="Times New Roman"/>
                <w:sz w:val="24"/>
                <w:szCs w:val="24"/>
              </w:rPr>
              <w:t>Счет брокера открывается депозитарием без соблюдения условия, предусмотренного абзацем третьим настоящего пункта, в случае, когда указанный депозитарий осуществляет обязательное централизованное хранение ценных бумаг (централизованный учет прав на ценные бумаги), которые будут зачислены на указанный счет.</w:t>
            </w:r>
          </w:p>
          <w:p w14:paraId="431A597E" w14:textId="77777777" w:rsidR="00034D19" w:rsidRPr="00605127" w:rsidRDefault="00034D19" w:rsidP="00034D19">
            <w:pPr>
              <w:spacing w:after="0" w:line="240" w:lineRule="auto"/>
              <w:jc w:val="both"/>
              <w:rPr>
                <w:rFonts w:ascii="Times New Roman" w:hAnsi="Times New Roman"/>
                <w:b/>
                <w:bCs/>
                <w:sz w:val="24"/>
                <w:szCs w:val="24"/>
              </w:rPr>
            </w:pPr>
            <w:r w:rsidRPr="00605127">
              <w:rPr>
                <w:rFonts w:ascii="Times New Roman" w:hAnsi="Times New Roman"/>
                <w:b/>
                <w:bCs/>
                <w:sz w:val="24"/>
                <w:szCs w:val="24"/>
              </w:rPr>
              <w:t>Счет брокера открывается брокером в депозитарии для учета эмиссионных ценных бумаг, в отношении которых такой брокер оказывает услуги по их размещению.</w:t>
            </w:r>
          </w:p>
          <w:p w14:paraId="45FFD301" w14:textId="58F6DF18" w:rsidR="00034D19" w:rsidRPr="00034D19" w:rsidRDefault="00034D19" w:rsidP="00034D19">
            <w:pPr>
              <w:spacing w:after="0" w:line="240" w:lineRule="auto"/>
              <w:jc w:val="both"/>
              <w:rPr>
                <w:rFonts w:ascii="Times New Roman" w:hAnsi="Times New Roman"/>
                <w:sz w:val="24"/>
                <w:szCs w:val="24"/>
              </w:rPr>
            </w:pPr>
            <w:r w:rsidRPr="00034D19">
              <w:rPr>
                <w:rFonts w:ascii="Times New Roman" w:hAnsi="Times New Roman"/>
                <w:sz w:val="24"/>
                <w:szCs w:val="24"/>
              </w:rPr>
              <w:t>Депозитарий должен уведомить брокера об открытии ему счета брокера путем направления регистрируемого почтового отправления, если иной способ взаимодействия с брокером не установлен условиями договора депозитария с указанным брокером».</w:t>
            </w:r>
          </w:p>
        </w:tc>
        <w:tc>
          <w:tcPr>
            <w:tcW w:w="4819" w:type="dxa"/>
          </w:tcPr>
          <w:p w14:paraId="024EA69B" w14:textId="7E526BAE" w:rsidR="00DC28C0" w:rsidRPr="00FA2B35" w:rsidRDefault="004601C6" w:rsidP="003E295D">
            <w:pPr>
              <w:pStyle w:val="a7"/>
              <w:spacing w:after="0" w:line="240" w:lineRule="auto"/>
              <w:ind w:left="0"/>
              <w:jc w:val="both"/>
              <w:rPr>
                <w:rFonts w:ascii="Times New Roman" w:hAnsi="Times New Roman"/>
                <w:sz w:val="24"/>
                <w:szCs w:val="24"/>
              </w:rPr>
            </w:pPr>
            <w:r w:rsidRPr="004601C6">
              <w:rPr>
                <w:rFonts w:ascii="Times New Roman" w:hAnsi="Times New Roman"/>
                <w:sz w:val="24"/>
                <w:szCs w:val="24"/>
              </w:rPr>
              <w:lastRenderedPageBreak/>
              <w:t>Возможно неоднозначное толкование формулировки в проекте Указания.</w:t>
            </w:r>
          </w:p>
        </w:tc>
      </w:tr>
      <w:tr w:rsidR="00CB6B10" w:rsidRPr="00A15536" w14:paraId="5D0A4A6D" w14:textId="77777777" w:rsidTr="008E1A55">
        <w:tc>
          <w:tcPr>
            <w:tcW w:w="973" w:type="dxa"/>
          </w:tcPr>
          <w:p w14:paraId="6442B186" w14:textId="23AF4EF4" w:rsidR="00CB6B10" w:rsidRDefault="00786F61" w:rsidP="00631E9E">
            <w:pPr>
              <w:spacing w:after="0" w:line="240" w:lineRule="auto"/>
              <w:jc w:val="both"/>
              <w:rPr>
                <w:rFonts w:ascii="Times New Roman" w:hAnsi="Times New Roman"/>
                <w:sz w:val="24"/>
                <w:szCs w:val="24"/>
              </w:rPr>
            </w:pPr>
            <w:r>
              <w:rPr>
                <w:rFonts w:ascii="Times New Roman" w:hAnsi="Times New Roman"/>
                <w:sz w:val="24"/>
                <w:szCs w:val="24"/>
              </w:rPr>
              <w:t>4</w:t>
            </w:r>
            <w:r w:rsidR="00CB6B10">
              <w:rPr>
                <w:rFonts w:ascii="Times New Roman" w:hAnsi="Times New Roman"/>
                <w:sz w:val="24"/>
                <w:szCs w:val="24"/>
              </w:rPr>
              <w:t>.</w:t>
            </w:r>
          </w:p>
        </w:tc>
        <w:tc>
          <w:tcPr>
            <w:tcW w:w="2991" w:type="dxa"/>
          </w:tcPr>
          <w:p w14:paraId="6DA13ED0" w14:textId="687ECC3F" w:rsidR="00CB6B10" w:rsidRPr="0008350F" w:rsidRDefault="0082428E" w:rsidP="00631E9E">
            <w:pPr>
              <w:spacing w:after="0" w:line="240" w:lineRule="auto"/>
              <w:jc w:val="both"/>
              <w:rPr>
                <w:rFonts w:ascii="Times New Roman" w:hAnsi="Times New Roman"/>
                <w:sz w:val="24"/>
                <w:szCs w:val="24"/>
              </w:rPr>
            </w:pPr>
            <w:r w:rsidRPr="0008350F">
              <w:rPr>
                <w:rFonts w:ascii="Times New Roman" w:hAnsi="Times New Roman"/>
                <w:sz w:val="24"/>
                <w:szCs w:val="24"/>
              </w:rPr>
              <w:t>Пункт 1.</w:t>
            </w:r>
            <w:r w:rsidR="000429A8">
              <w:rPr>
                <w:rFonts w:ascii="Times New Roman" w:hAnsi="Times New Roman"/>
                <w:sz w:val="24"/>
                <w:szCs w:val="24"/>
              </w:rPr>
              <w:t>12</w:t>
            </w:r>
            <w:r w:rsidRPr="0008350F">
              <w:rPr>
                <w:rFonts w:ascii="Times New Roman" w:hAnsi="Times New Roman"/>
                <w:sz w:val="24"/>
                <w:szCs w:val="24"/>
              </w:rPr>
              <w:t xml:space="preserve"> проекта Указания</w:t>
            </w:r>
          </w:p>
        </w:tc>
        <w:tc>
          <w:tcPr>
            <w:tcW w:w="5954" w:type="dxa"/>
          </w:tcPr>
          <w:p w14:paraId="5B5F6A12" w14:textId="77777777" w:rsidR="00532202" w:rsidRPr="00A7186C" w:rsidRDefault="003B03DB" w:rsidP="00532202">
            <w:pPr>
              <w:pStyle w:val="a7"/>
              <w:spacing w:after="0" w:line="240" w:lineRule="auto"/>
              <w:ind w:left="0"/>
              <w:jc w:val="both"/>
              <w:rPr>
                <w:rFonts w:ascii="Times New Roman" w:hAnsi="Times New Roman"/>
                <w:b/>
                <w:bCs/>
                <w:sz w:val="24"/>
                <w:szCs w:val="24"/>
              </w:rPr>
            </w:pPr>
            <w:r w:rsidRPr="00A7186C">
              <w:rPr>
                <w:rFonts w:ascii="Times New Roman" w:hAnsi="Times New Roman"/>
                <w:b/>
                <w:bCs/>
                <w:sz w:val="24"/>
                <w:szCs w:val="24"/>
              </w:rPr>
              <w:t>Предложение.</w:t>
            </w:r>
          </w:p>
          <w:p w14:paraId="7DD99DC4" w14:textId="139ADBB2" w:rsidR="003B03DB" w:rsidRPr="0008350F" w:rsidRDefault="003B03DB" w:rsidP="00A7186C">
            <w:pPr>
              <w:pStyle w:val="a7"/>
              <w:spacing w:after="0" w:line="240" w:lineRule="auto"/>
              <w:ind w:left="0"/>
              <w:jc w:val="both"/>
              <w:rPr>
                <w:rFonts w:ascii="Times New Roman" w:hAnsi="Times New Roman"/>
                <w:sz w:val="24"/>
                <w:szCs w:val="24"/>
              </w:rPr>
            </w:pPr>
            <w:r w:rsidRPr="003B03DB">
              <w:rPr>
                <w:rFonts w:ascii="Times New Roman" w:hAnsi="Times New Roman"/>
                <w:sz w:val="24"/>
                <w:szCs w:val="24"/>
              </w:rPr>
              <w:lastRenderedPageBreak/>
              <w:t xml:space="preserve"> Главу 4 дополнить пунктом 4.14 следующего содержания: «4.14. Счет депо эскроу-агента открывается эскроу-агенту, указанному в договоре эскроу, </w:t>
            </w:r>
            <w:r w:rsidRPr="00167FBF">
              <w:rPr>
                <w:rFonts w:ascii="Times New Roman" w:hAnsi="Times New Roman"/>
                <w:b/>
                <w:bCs/>
                <w:sz w:val="24"/>
                <w:szCs w:val="24"/>
              </w:rPr>
              <w:t>в том числе если эскроу агентом является сам депозитарий открывший данный счет</w:t>
            </w:r>
            <w:r w:rsidRPr="003B03DB">
              <w:rPr>
                <w:rFonts w:ascii="Times New Roman" w:hAnsi="Times New Roman"/>
                <w:sz w:val="24"/>
                <w:szCs w:val="24"/>
              </w:rPr>
              <w:t>, если помимо документов, предусмотренных пунктом 4.2 настоящего Положения, депозитарию представлен договор эскроу, подтверждающий полномочия эскроу-агента. При этом в отношении каждого договора эскроу открывается отдельный счет депо эскроу-агента</w:t>
            </w:r>
            <w:r w:rsidR="0069795A">
              <w:rPr>
                <w:rFonts w:ascii="Times New Roman" w:hAnsi="Times New Roman"/>
                <w:sz w:val="24"/>
                <w:szCs w:val="24"/>
              </w:rPr>
              <w:t>».</w:t>
            </w:r>
          </w:p>
        </w:tc>
        <w:tc>
          <w:tcPr>
            <w:tcW w:w="4819" w:type="dxa"/>
          </w:tcPr>
          <w:p w14:paraId="208658D3" w14:textId="2AE4124C" w:rsidR="00CB6B10" w:rsidRPr="0008350F" w:rsidRDefault="000619C9" w:rsidP="00CB0B05">
            <w:pPr>
              <w:pStyle w:val="a7"/>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Данная формулировка соответствует международной практике, когда </w:t>
            </w:r>
            <w:r>
              <w:rPr>
                <w:rFonts w:ascii="Times New Roman" w:hAnsi="Times New Roman"/>
                <w:sz w:val="24"/>
                <w:szCs w:val="24"/>
              </w:rPr>
              <w:lastRenderedPageBreak/>
              <w:t>депозитарий, открывающий счет эскроу одновременно является эскроу-агентом.</w:t>
            </w:r>
          </w:p>
        </w:tc>
      </w:tr>
      <w:tr w:rsidR="00CB6B10" w:rsidRPr="00A15536" w14:paraId="51FBBF74" w14:textId="77777777" w:rsidTr="008E1A55">
        <w:trPr>
          <w:trHeight w:val="1725"/>
        </w:trPr>
        <w:tc>
          <w:tcPr>
            <w:tcW w:w="973" w:type="dxa"/>
          </w:tcPr>
          <w:p w14:paraId="6ED62524" w14:textId="73BE6F3A" w:rsidR="00CB6B10" w:rsidRPr="00A15536" w:rsidRDefault="00786F61" w:rsidP="00631E9E">
            <w:pPr>
              <w:spacing w:after="0" w:line="240" w:lineRule="auto"/>
              <w:jc w:val="both"/>
              <w:rPr>
                <w:rFonts w:ascii="Times New Roman" w:hAnsi="Times New Roman"/>
                <w:sz w:val="24"/>
                <w:szCs w:val="24"/>
              </w:rPr>
            </w:pPr>
            <w:r>
              <w:rPr>
                <w:rFonts w:ascii="Times New Roman" w:hAnsi="Times New Roman"/>
                <w:sz w:val="24"/>
                <w:szCs w:val="24"/>
              </w:rPr>
              <w:lastRenderedPageBreak/>
              <w:t>5</w:t>
            </w:r>
            <w:r w:rsidR="00CB6B10">
              <w:rPr>
                <w:rFonts w:ascii="Times New Roman" w:hAnsi="Times New Roman"/>
                <w:sz w:val="24"/>
                <w:szCs w:val="24"/>
              </w:rPr>
              <w:t>.</w:t>
            </w:r>
          </w:p>
        </w:tc>
        <w:tc>
          <w:tcPr>
            <w:tcW w:w="2991" w:type="dxa"/>
          </w:tcPr>
          <w:p w14:paraId="285BC559" w14:textId="6AD1E141" w:rsidR="00CB6B10" w:rsidRPr="0008350F" w:rsidRDefault="00D75125" w:rsidP="00631E9E">
            <w:pPr>
              <w:spacing w:after="0" w:line="240" w:lineRule="auto"/>
              <w:jc w:val="both"/>
              <w:rPr>
                <w:rFonts w:ascii="Times New Roman" w:hAnsi="Times New Roman"/>
                <w:sz w:val="24"/>
                <w:szCs w:val="24"/>
              </w:rPr>
            </w:pPr>
            <w:r w:rsidRPr="0008350F">
              <w:rPr>
                <w:rFonts w:ascii="Times New Roman" w:hAnsi="Times New Roman"/>
                <w:sz w:val="24"/>
                <w:szCs w:val="24"/>
              </w:rPr>
              <w:t>Пункт 1.1</w:t>
            </w:r>
            <w:r w:rsidR="008F4112">
              <w:rPr>
                <w:rFonts w:ascii="Times New Roman" w:hAnsi="Times New Roman"/>
                <w:sz w:val="24"/>
                <w:szCs w:val="24"/>
              </w:rPr>
              <w:t>3</w:t>
            </w:r>
            <w:r w:rsidRPr="0008350F">
              <w:rPr>
                <w:rFonts w:ascii="Times New Roman" w:hAnsi="Times New Roman"/>
                <w:sz w:val="24"/>
                <w:szCs w:val="24"/>
              </w:rPr>
              <w:t xml:space="preserve"> проекта Указания</w:t>
            </w:r>
          </w:p>
        </w:tc>
        <w:tc>
          <w:tcPr>
            <w:tcW w:w="5954" w:type="dxa"/>
          </w:tcPr>
          <w:p w14:paraId="3FB658D5" w14:textId="37B640DD" w:rsidR="00997025" w:rsidRPr="00997025" w:rsidRDefault="00997025" w:rsidP="00E95F3B">
            <w:pPr>
              <w:pStyle w:val="a7"/>
              <w:spacing w:after="0" w:line="240" w:lineRule="auto"/>
              <w:ind w:left="0"/>
              <w:jc w:val="both"/>
              <w:rPr>
                <w:rFonts w:ascii="Times New Roman" w:hAnsi="Times New Roman"/>
                <w:b/>
                <w:bCs/>
                <w:sz w:val="24"/>
                <w:szCs w:val="24"/>
              </w:rPr>
            </w:pPr>
            <w:r w:rsidRPr="00997025">
              <w:rPr>
                <w:rFonts w:ascii="Times New Roman" w:hAnsi="Times New Roman"/>
                <w:b/>
                <w:bCs/>
                <w:sz w:val="24"/>
                <w:szCs w:val="24"/>
              </w:rPr>
              <w:t>Предложени</w:t>
            </w:r>
            <w:r w:rsidR="00E95F3B">
              <w:rPr>
                <w:rFonts w:ascii="Times New Roman" w:hAnsi="Times New Roman"/>
                <w:b/>
                <w:bCs/>
                <w:sz w:val="24"/>
                <w:szCs w:val="24"/>
              </w:rPr>
              <w:t>я</w:t>
            </w:r>
            <w:r w:rsidRPr="00997025">
              <w:rPr>
                <w:rFonts w:ascii="Times New Roman" w:hAnsi="Times New Roman"/>
                <w:b/>
                <w:bCs/>
                <w:sz w:val="24"/>
                <w:szCs w:val="24"/>
              </w:rPr>
              <w:t xml:space="preserve">. </w:t>
            </w:r>
          </w:p>
          <w:p w14:paraId="4CE7D854" w14:textId="77777777" w:rsidR="00DF0755" w:rsidRDefault="00997025" w:rsidP="009E3B5C">
            <w:pPr>
              <w:pStyle w:val="a7"/>
              <w:numPr>
                <w:ilvl w:val="0"/>
                <w:numId w:val="4"/>
              </w:numPr>
              <w:spacing w:after="0" w:line="240" w:lineRule="auto"/>
              <w:ind w:left="0" w:firstLine="0"/>
              <w:jc w:val="both"/>
              <w:rPr>
                <w:rFonts w:ascii="Times New Roman" w:hAnsi="Times New Roman"/>
                <w:sz w:val="24"/>
                <w:szCs w:val="24"/>
              </w:rPr>
            </w:pPr>
            <w:r w:rsidRPr="00997025">
              <w:rPr>
                <w:rFonts w:ascii="Times New Roman" w:hAnsi="Times New Roman"/>
                <w:sz w:val="24"/>
                <w:szCs w:val="24"/>
              </w:rPr>
              <w:t xml:space="preserve">В связи с вносимым </w:t>
            </w:r>
            <w:r>
              <w:rPr>
                <w:rFonts w:ascii="Times New Roman" w:hAnsi="Times New Roman"/>
                <w:sz w:val="24"/>
                <w:szCs w:val="24"/>
              </w:rPr>
              <w:t>п</w:t>
            </w:r>
            <w:r w:rsidRPr="00997025">
              <w:rPr>
                <w:rFonts w:ascii="Times New Roman" w:hAnsi="Times New Roman"/>
                <w:sz w:val="24"/>
                <w:szCs w:val="24"/>
              </w:rPr>
              <w:t>роектом</w:t>
            </w:r>
            <w:r>
              <w:rPr>
                <w:rFonts w:ascii="Times New Roman" w:hAnsi="Times New Roman"/>
                <w:sz w:val="24"/>
                <w:szCs w:val="24"/>
              </w:rPr>
              <w:t xml:space="preserve"> Указания</w:t>
            </w:r>
            <w:r w:rsidRPr="00997025">
              <w:rPr>
                <w:rFonts w:ascii="Times New Roman" w:hAnsi="Times New Roman"/>
                <w:sz w:val="24"/>
                <w:szCs w:val="24"/>
              </w:rPr>
              <w:t xml:space="preserve"> п</w:t>
            </w:r>
            <w:r>
              <w:rPr>
                <w:rFonts w:ascii="Times New Roman" w:hAnsi="Times New Roman"/>
                <w:sz w:val="24"/>
                <w:szCs w:val="24"/>
              </w:rPr>
              <w:t>унктом</w:t>
            </w:r>
            <w:r w:rsidRPr="00997025">
              <w:rPr>
                <w:rFonts w:ascii="Times New Roman" w:hAnsi="Times New Roman"/>
                <w:sz w:val="24"/>
                <w:szCs w:val="24"/>
              </w:rPr>
              <w:t xml:space="preserve"> 5.6, устанавливающим специальные правила о корреспонденции для некоторых активных счетов, соответствующие положения следует либо перенести в п</w:t>
            </w:r>
            <w:r>
              <w:rPr>
                <w:rFonts w:ascii="Times New Roman" w:hAnsi="Times New Roman"/>
                <w:sz w:val="24"/>
                <w:szCs w:val="24"/>
              </w:rPr>
              <w:t>ункт</w:t>
            </w:r>
            <w:r w:rsidRPr="00997025">
              <w:rPr>
                <w:rFonts w:ascii="Times New Roman" w:hAnsi="Times New Roman"/>
                <w:sz w:val="24"/>
                <w:szCs w:val="24"/>
              </w:rPr>
              <w:t xml:space="preserve"> 5.3. либо указать в п</w:t>
            </w:r>
            <w:r>
              <w:rPr>
                <w:rFonts w:ascii="Times New Roman" w:hAnsi="Times New Roman"/>
                <w:sz w:val="24"/>
                <w:szCs w:val="24"/>
              </w:rPr>
              <w:t>ункте</w:t>
            </w:r>
            <w:r w:rsidRPr="00997025">
              <w:rPr>
                <w:rFonts w:ascii="Times New Roman" w:hAnsi="Times New Roman"/>
                <w:sz w:val="24"/>
                <w:szCs w:val="24"/>
              </w:rPr>
              <w:t xml:space="preserve"> 5.2 Положения, что исключения из общего правила о точной корреспонденции активных и пассивных счетов устанавливаются не только пунктом 5.3, но и пунктом 5.6.</w:t>
            </w:r>
          </w:p>
          <w:p w14:paraId="763FAE14" w14:textId="77777777" w:rsidR="004206D7" w:rsidRDefault="004206D7" w:rsidP="009E3B5C">
            <w:pPr>
              <w:pStyle w:val="a7"/>
              <w:numPr>
                <w:ilvl w:val="0"/>
                <w:numId w:val="4"/>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Изложить пункт </w:t>
            </w:r>
            <w:r w:rsidR="00895D13" w:rsidRPr="00895D13">
              <w:rPr>
                <w:rFonts w:ascii="Times New Roman" w:hAnsi="Times New Roman"/>
                <w:sz w:val="24"/>
                <w:szCs w:val="24"/>
              </w:rPr>
              <w:t xml:space="preserve">5.6. </w:t>
            </w:r>
            <w:r>
              <w:rPr>
                <w:rFonts w:ascii="Times New Roman" w:hAnsi="Times New Roman"/>
                <w:sz w:val="24"/>
                <w:szCs w:val="24"/>
              </w:rPr>
              <w:t xml:space="preserve">Положения в следующей редакции: </w:t>
            </w:r>
          </w:p>
          <w:p w14:paraId="6FF545DB" w14:textId="059668D0" w:rsidR="00895D13" w:rsidRPr="00895D13" w:rsidRDefault="004206D7" w:rsidP="004206D7">
            <w:pPr>
              <w:pStyle w:val="a7"/>
              <w:spacing w:after="0" w:line="240" w:lineRule="auto"/>
              <w:ind w:left="0"/>
              <w:jc w:val="both"/>
              <w:rPr>
                <w:rFonts w:ascii="Times New Roman" w:hAnsi="Times New Roman"/>
                <w:sz w:val="24"/>
                <w:szCs w:val="24"/>
              </w:rPr>
            </w:pPr>
            <w:r>
              <w:rPr>
                <w:rFonts w:ascii="Times New Roman" w:hAnsi="Times New Roman"/>
                <w:sz w:val="24"/>
                <w:szCs w:val="24"/>
              </w:rPr>
              <w:t>«</w:t>
            </w:r>
            <w:r w:rsidR="00895D13" w:rsidRPr="00895D13">
              <w:rPr>
                <w:rFonts w:ascii="Times New Roman" w:hAnsi="Times New Roman"/>
                <w:sz w:val="24"/>
                <w:szCs w:val="24"/>
              </w:rPr>
              <w:t>В случае если депозитарий является депозитарием, осуществляющим учет ценных бумаг на счете документарных ценных бумаг и/или счете хранения бездокументарных ценных бумаг и/или счете централизованного учета ценных бумаг, учет ценных бумаг на указанных счетах должен осуществляться депозитарием с соблюдением следующих условий:</w:t>
            </w:r>
          </w:p>
          <w:p w14:paraId="2F85D7F9" w14:textId="77777777" w:rsidR="00895D13" w:rsidRPr="00911F7D" w:rsidRDefault="00895D13" w:rsidP="00E95F3B">
            <w:pPr>
              <w:pStyle w:val="a7"/>
              <w:spacing w:after="0" w:line="240" w:lineRule="auto"/>
              <w:ind w:left="0"/>
              <w:jc w:val="both"/>
              <w:rPr>
                <w:rFonts w:ascii="Times New Roman" w:hAnsi="Times New Roman"/>
                <w:b/>
                <w:bCs/>
                <w:sz w:val="24"/>
                <w:szCs w:val="24"/>
              </w:rPr>
            </w:pPr>
            <w:r w:rsidRPr="00185883">
              <w:rPr>
                <w:rFonts w:ascii="Times New Roman" w:hAnsi="Times New Roman"/>
                <w:sz w:val="24"/>
                <w:szCs w:val="24"/>
              </w:rPr>
              <w:t>количество ценных бумаг, учтенных депозитарием на счете документарных ценных бумаг,</w:t>
            </w:r>
            <w:r w:rsidRPr="00911F7D">
              <w:rPr>
                <w:rFonts w:ascii="Times New Roman" w:hAnsi="Times New Roman"/>
                <w:b/>
                <w:bCs/>
                <w:sz w:val="24"/>
                <w:szCs w:val="24"/>
              </w:rPr>
              <w:t xml:space="preserve"> должно быть равно количеству таких же обездвиженных </w:t>
            </w:r>
            <w:r w:rsidRPr="00911F7D">
              <w:rPr>
                <w:rFonts w:ascii="Times New Roman" w:hAnsi="Times New Roman"/>
                <w:b/>
                <w:bCs/>
                <w:sz w:val="24"/>
                <w:szCs w:val="24"/>
              </w:rPr>
              <w:lastRenderedPageBreak/>
              <w:t>документарных ценных бумаг, находящихся на хранении в депозитарии, - в случае, если депозитарий является депозитарием, получившим от депонента документарную ценную бумагу (документарные ценные бумаги) для ее (их) обездвижения;</w:t>
            </w:r>
          </w:p>
          <w:p w14:paraId="62D16F4D" w14:textId="77777777" w:rsidR="00895D13" w:rsidRDefault="00895D13" w:rsidP="00E95F3B">
            <w:pPr>
              <w:pStyle w:val="a7"/>
              <w:spacing w:after="0" w:line="240" w:lineRule="auto"/>
              <w:ind w:left="0"/>
              <w:jc w:val="both"/>
              <w:rPr>
                <w:rFonts w:ascii="Times New Roman" w:hAnsi="Times New Roman"/>
                <w:sz w:val="24"/>
                <w:szCs w:val="24"/>
              </w:rPr>
            </w:pPr>
            <w:r w:rsidRPr="00895D13">
              <w:rPr>
                <w:rFonts w:ascii="Times New Roman" w:hAnsi="Times New Roman"/>
                <w:sz w:val="24"/>
                <w:szCs w:val="24"/>
              </w:rPr>
              <w:t>количество ценных бумаг, учтенных депозитарием на счете централизованного учета ценных бумаг, должно быть равно количеству таких же эмиссионных ценных бумаг, учитываемых на счетах депо и пассивных счетах, не предназначенных для учета прав на ценные бумаги (выданных клиринговой организацией, сформировавшей имущественный пул, и не являющихся погашенными клиринговых сертификатов участия), - в случае, если депозитарий является депозитарием, осуществляющим обязательное централизованное хранение ценных бумаг и (или) централизованный учет прав на ценные бумаги;</w:t>
            </w:r>
          </w:p>
          <w:p w14:paraId="5CD3664A" w14:textId="217BDFF8" w:rsidR="00E95F3B" w:rsidRPr="0008350F" w:rsidRDefault="00E95F3B" w:rsidP="00E95F3B">
            <w:pPr>
              <w:pStyle w:val="a7"/>
              <w:spacing w:after="0" w:line="240" w:lineRule="auto"/>
              <w:ind w:left="0"/>
              <w:jc w:val="both"/>
              <w:rPr>
                <w:rFonts w:ascii="Times New Roman" w:hAnsi="Times New Roman"/>
                <w:sz w:val="24"/>
                <w:szCs w:val="24"/>
              </w:rPr>
            </w:pPr>
            <w:r w:rsidRPr="00E95F3B">
              <w:rPr>
                <w:rFonts w:ascii="Times New Roman" w:hAnsi="Times New Roman"/>
                <w:sz w:val="24"/>
                <w:szCs w:val="24"/>
              </w:rPr>
              <w:t>количество ценных бумаг, учтенных депозитарием на счете хранения бездокументарных ценных бумаг, должно быть равно количеству электронных закладных, хранение которых осуществляет указанный депозитарий, - в случае, если депозитарий является депозитарием, осуществляющим хранение электронной закладной, учет и переход прав на нее, или депозитарием, осуществляющим только хранение электронной закладной</w:t>
            </w:r>
            <w:r w:rsidR="004206D7">
              <w:rPr>
                <w:rFonts w:ascii="Times New Roman" w:hAnsi="Times New Roman"/>
                <w:sz w:val="24"/>
                <w:szCs w:val="24"/>
              </w:rPr>
              <w:t>».</w:t>
            </w:r>
          </w:p>
        </w:tc>
        <w:tc>
          <w:tcPr>
            <w:tcW w:w="4819" w:type="dxa"/>
          </w:tcPr>
          <w:p w14:paraId="062764C7" w14:textId="6E6401E0" w:rsidR="00405087" w:rsidRPr="00405087" w:rsidRDefault="004206D7" w:rsidP="00405087">
            <w:pPr>
              <w:pStyle w:val="a7"/>
              <w:spacing w:after="0" w:line="240" w:lineRule="auto"/>
              <w:ind w:left="0"/>
              <w:jc w:val="both"/>
              <w:rPr>
                <w:rFonts w:ascii="Times New Roman" w:hAnsi="Times New Roman"/>
                <w:sz w:val="24"/>
                <w:szCs w:val="24"/>
              </w:rPr>
            </w:pPr>
            <w:r w:rsidRPr="00A556EC">
              <w:rPr>
                <w:rFonts w:ascii="Times New Roman" w:hAnsi="Times New Roman"/>
                <w:b/>
                <w:bCs/>
                <w:sz w:val="24"/>
                <w:szCs w:val="24"/>
              </w:rPr>
              <w:lastRenderedPageBreak/>
              <w:t>2</w:t>
            </w:r>
            <w:r>
              <w:rPr>
                <w:rFonts w:ascii="Times New Roman" w:hAnsi="Times New Roman"/>
                <w:sz w:val="24"/>
                <w:szCs w:val="24"/>
              </w:rPr>
              <w:t>.</w:t>
            </w:r>
            <w:r w:rsidR="00405087">
              <w:t xml:space="preserve"> </w:t>
            </w:r>
            <w:r w:rsidR="00405087" w:rsidRPr="00405087">
              <w:rPr>
                <w:rFonts w:ascii="Times New Roman" w:hAnsi="Times New Roman"/>
                <w:sz w:val="24"/>
                <w:szCs w:val="24"/>
              </w:rPr>
              <w:t>Предложенная формулировка позволяет выполнить требования пункта 5.2 Положения, согласно которому количество ценных бумаг, отраженное на активных счетах, должно быть равно их количеству, отраженному на пассивных счетах, за исключением случая, когда депозитарий является эмитентом российских депозитарных расписок.</w:t>
            </w:r>
          </w:p>
          <w:p w14:paraId="4D9B1830" w14:textId="3051DA38" w:rsidR="00DF0755" w:rsidRPr="004206D7" w:rsidRDefault="00405087" w:rsidP="00405087">
            <w:pPr>
              <w:pStyle w:val="a7"/>
              <w:spacing w:after="0" w:line="240" w:lineRule="auto"/>
              <w:ind w:left="0"/>
              <w:jc w:val="both"/>
              <w:rPr>
                <w:rFonts w:ascii="Times New Roman" w:hAnsi="Times New Roman"/>
                <w:sz w:val="24"/>
                <w:szCs w:val="24"/>
              </w:rPr>
            </w:pPr>
            <w:r w:rsidRPr="00405087">
              <w:rPr>
                <w:rFonts w:ascii="Times New Roman" w:hAnsi="Times New Roman"/>
                <w:sz w:val="24"/>
                <w:szCs w:val="24"/>
              </w:rPr>
              <w:t xml:space="preserve">Основанием для зачисления ценных бумаг на счет централизованного учета ценных бумаг является внесение записи о зачислении ценных бумаг по эмиссионному счету и передача депозитарию документарных ценных бумаг с обязательным централизованным хранением или принятие депозитарием решения о выпуске (дополнительном выпуске), при этом в течение срока размещения, который может быть продолжительностью до года, возможно размещение меньшего количества ценных бумаг, чем предусмотрено решением </w:t>
            </w:r>
            <w:r w:rsidRPr="00405087">
              <w:rPr>
                <w:rFonts w:ascii="Times New Roman" w:hAnsi="Times New Roman"/>
                <w:sz w:val="24"/>
                <w:szCs w:val="24"/>
              </w:rPr>
              <w:lastRenderedPageBreak/>
              <w:t>об их выпуске (дополнительном выпуске), а в течение срока обращения возможно досрочное погашение облигаций по требованию их владельцев.</w:t>
            </w:r>
          </w:p>
        </w:tc>
      </w:tr>
      <w:tr w:rsidR="00AE4D51" w:rsidRPr="00A15536" w14:paraId="03FAF5A7" w14:textId="77777777" w:rsidTr="008E1A55">
        <w:trPr>
          <w:trHeight w:val="1725"/>
        </w:trPr>
        <w:tc>
          <w:tcPr>
            <w:tcW w:w="973" w:type="dxa"/>
          </w:tcPr>
          <w:p w14:paraId="56E91868" w14:textId="6FEE0ED5" w:rsidR="00AE4D51" w:rsidRDefault="00786F61" w:rsidP="00631E9E">
            <w:pPr>
              <w:spacing w:after="0" w:line="240" w:lineRule="auto"/>
              <w:jc w:val="both"/>
              <w:rPr>
                <w:rFonts w:ascii="Times New Roman" w:hAnsi="Times New Roman"/>
                <w:sz w:val="24"/>
                <w:szCs w:val="24"/>
              </w:rPr>
            </w:pPr>
            <w:r>
              <w:rPr>
                <w:rFonts w:ascii="Times New Roman" w:hAnsi="Times New Roman"/>
                <w:sz w:val="24"/>
                <w:szCs w:val="24"/>
              </w:rPr>
              <w:lastRenderedPageBreak/>
              <w:t>6.</w:t>
            </w:r>
          </w:p>
        </w:tc>
        <w:tc>
          <w:tcPr>
            <w:tcW w:w="2991" w:type="dxa"/>
          </w:tcPr>
          <w:p w14:paraId="475A261F" w14:textId="3CCF0DB3" w:rsidR="00AE4D51" w:rsidRPr="0008350F" w:rsidRDefault="00AE4D51" w:rsidP="00631E9E">
            <w:pPr>
              <w:spacing w:after="0" w:line="240" w:lineRule="auto"/>
              <w:jc w:val="both"/>
              <w:rPr>
                <w:rFonts w:ascii="Times New Roman" w:hAnsi="Times New Roman"/>
                <w:sz w:val="24"/>
                <w:szCs w:val="24"/>
              </w:rPr>
            </w:pPr>
            <w:r w:rsidRPr="00AE4D51">
              <w:rPr>
                <w:rFonts w:ascii="Times New Roman" w:hAnsi="Times New Roman"/>
                <w:sz w:val="24"/>
                <w:szCs w:val="24"/>
              </w:rPr>
              <w:t>Пункт 1.</w:t>
            </w:r>
            <w:r>
              <w:rPr>
                <w:rFonts w:ascii="Times New Roman" w:hAnsi="Times New Roman"/>
                <w:sz w:val="24"/>
                <w:szCs w:val="24"/>
              </w:rPr>
              <w:t>14</w:t>
            </w:r>
            <w:r w:rsidRPr="00AE4D51">
              <w:rPr>
                <w:rFonts w:ascii="Times New Roman" w:hAnsi="Times New Roman"/>
                <w:sz w:val="24"/>
                <w:szCs w:val="24"/>
              </w:rPr>
              <w:t xml:space="preserve"> проекта Указания</w:t>
            </w:r>
          </w:p>
        </w:tc>
        <w:tc>
          <w:tcPr>
            <w:tcW w:w="5954" w:type="dxa"/>
          </w:tcPr>
          <w:p w14:paraId="66A70129" w14:textId="77777777" w:rsidR="00AE4D51" w:rsidRPr="00EF222F" w:rsidRDefault="007A0443" w:rsidP="00F3569E">
            <w:pPr>
              <w:pStyle w:val="a7"/>
              <w:spacing w:after="0" w:line="240" w:lineRule="auto"/>
              <w:ind w:left="0"/>
              <w:jc w:val="both"/>
              <w:rPr>
                <w:rFonts w:ascii="Times New Roman" w:hAnsi="Times New Roman"/>
                <w:b/>
                <w:bCs/>
                <w:sz w:val="24"/>
                <w:szCs w:val="24"/>
              </w:rPr>
            </w:pPr>
            <w:r w:rsidRPr="00EF222F">
              <w:rPr>
                <w:rFonts w:ascii="Times New Roman" w:hAnsi="Times New Roman"/>
                <w:b/>
                <w:bCs/>
                <w:sz w:val="24"/>
                <w:szCs w:val="24"/>
              </w:rPr>
              <w:t>Предложение.</w:t>
            </w:r>
          </w:p>
          <w:p w14:paraId="7C641FD6" w14:textId="77777777" w:rsidR="009C22ED" w:rsidRDefault="00A62AA6" w:rsidP="00F3569E">
            <w:pPr>
              <w:pStyle w:val="a7"/>
              <w:spacing w:after="0" w:line="240" w:lineRule="auto"/>
              <w:ind w:left="0"/>
              <w:jc w:val="both"/>
              <w:rPr>
                <w:rFonts w:ascii="Times New Roman" w:hAnsi="Times New Roman"/>
                <w:sz w:val="24"/>
                <w:szCs w:val="24"/>
              </w:rPr>
            </w:pPr>
            <w:r w:rsidRPr="00A62AA6">
              <w:rPr>
                <w:rFonts w:ascii="Times New Roman" w:hAnsi="Times New Roman"/>
                <w:sz w:val="24"/>
                <w:szCs w:val="24"/>
              </w:rPr>
              <w:t xml:space="preserve">Изложить пункт </w:t>
            </w:r>
            <w:r>
              <w:rPr>
                <w:rFonts w:ascii="Times New Roman" w:hAnsi="Times New Roman"/>
                <w:sz w:val="24"/>
                <w:szCs w:val="24"/>
              </w:rPr>
              <w:t>6</w:t>
            </w:r>
            <w:r w:rsidRPr="00A62AA6">
              <w:rPr>
                <w:rFonts w:ascii="Times New Roman" w:hAnsi="Times New Roman"/>
                <w:sz w:val="24"/>
                <w:szCs w:val="24"/>
              </w:rPr>
              <w:t>.</w:t>
            </w:r>
            <w:r>
              <w:rPr>
                <w:rFonts w:ascii="Times New Roman" w:hAnsi="Times New Roman"/>
                <w:sz w:val="24"/>
                <w:szCs w:val="24"/>
              </w:rPr>
              <w:t>8</w:t>
            </w:r>
            <w:r w:rsidRPr="00A62AA6">
              <w:rPr>
                <w:rFonts w:ascii="Times New Roman" w:hAnsi="Times New Roman"/>
                <w:sz w:val="24"/>
                <w:szCs w:val="24"/>
              </w:rPr>
              <w:t xml:space="preserve">. Положения в следующей редакции: </w:t>
            </w:r>
          </w:p>
          <w:p w14:paraId="250F1A58" w14:textId="0CE9B226" w:rsidR="00EF222F" w:rsidRPr="00EF222F" w:rsidRDefault="00A62AA6" w:rsidP="00F3569E">
            <w:pPr>
              <w:pStyle w:val="a7"/>
              <w:spacing w:after="0" w:line="240" w:lineRule="auto"/>
              <w:ind w:left="0"/>
              <w:jc w:val="both"/>
              <w:rPr>
                <w:rFonts w:ascii="Times New Roman" w:hAnsi="Times New Roman"/>
                <w:sz w:val="24"/>
                <w:szCs w:val="24"/>
              </w:rPr>
            </w:pPr>
            <w:r>
              <w:rPr>
                <w:rFonts w:ascii="Times New Roman" w:hAnsi="Times New Roman"/>
                <w:sz w:val="24"/>
                <w:szCs w:val="24"/>
              </w:rPr>
              <w:t>«</w:t>
            </w:r>
            <w:r w:rsidR="00EF222F" w:rsidRPr="00EF222F">
              <w:rPr>
                <w:rFonts w:ascii="Times New Roman" w:hAnsi="Times New Roman"/>
                <w:sz w:val="24"/>
                <w:szCs w:val="24"/>
              </w:rPr>
              <w:t>Основанием для зачисления ценных бумаг на счет документарных ценных бумаг является передача депозитарию документарной ценной бумаги (документарных ценных бумаг) для ее (их) обездвижения.</w:t>
            </w:r>
          </w:p>
          <w:p w14:paraId="4F7255AB" w14:textId="77777777" w:rsidR="00EF222F" w:rsidRPr="00EF222F" w:rsidRDefault="00EF222F" w:rsidP="00F3569E">
            <w:pPr>
              <w:pStyle w:val="a7"/>
              <w:spacing w:after="0" w:line="240" w:lineRule="auto"/>
              <w:ind w:left="0"/>
              <w:jc w:val="both"/>
              <w:rPr>
                <w:rFonts w:ascii="Times New Roman" w:hAnsi="Times New Roman"/>
                <w:sz w:val="24"/>
                <w:szCs w:val="24"/>
              </w:rPr>
            </w:pPr>
            <w:r w:rsidRPr="00EF222F">
              <w:rPr>
                <w:rFonts w:ascii="Times New Roman" w:hAnsi="Times New Roman"/>
                <w:sz w:val="24"/>
                <w:szCs w:val="24"/>
              </w:rPr>
              <w:t>Основанием для зачисления электронной закладной на счет хранения бездокументарных ценных бумаг является получение электронной закладной на хранение и внесение записи о ее зачислении по счету депо залогодержателя, первоначально указанного в электронной закладной (далее - первоначальный владелец электронной закладной), или иного лица, которое в соответствии с абзацем вторым пункта 3 статьи 13 Федерального закона "Об ипотеке (залоге недвижимости)" осуществляет права по электронной закладной (далее - иное лицо, осуществляющее права по электронной закладной), или внесение записи по счету депо номинального держателя, открытому депозитарию, осуществляющему учет и переход прав на электронную закладную.</w:t>
            </w:r>
          </w:p>
          <w:p w14:paraId="704D67B2" w14:textId="77777777" w:rsidR="00EF222F" w:rsidRPr="00EF222F" w:rsidRDefault="00EF222F" w:rsidP="00F3569E">
            <w:pPr>
              <w:pStyle w:val="a7"/>
              <w:spacing w:after="0" w:line="240" w:lineRule="auto"/>
              <w:ind w:left="0"/>
              <w:jc w:val="both"/>
              <w:rPr>
                <w:rFonts w:ascii="Times New Roman" w:hAnsi="Times New Roman"/>
                <w:sz w:val="24"/>
                <w:szCs w:val="24"/>
              </w:rPr>
            </w:pPr>
            <w:r w:rsidRPr="00EF222F">
              <w:rPr>
                <w:rFonts w:ascii="Times New Roman" w:hAnsi="Times New Roman"/>
                <w:sz w:val="24"/>
                <w:szCs w:val="24"/>
              </w:rPr>
              <w:t>Основанием для зачисления ценных бумаг на счет централизованного учета ценных бумаг является:</w:t>
            </w:r>
          </w:p>
          <w:p w14:paraId="64900B0D" w14:textId="77777777" w:rsidR="00EF222F" w:rsidRPr="00EF222F" w:rsidRDefault="00EF222F" w:rsidP="00F3569E">
            <w:pPr>
              <w:pStyle w:val="a7"/>
              <w:spacing w:after="0" w:line="240" w:lineRule="auto"/>
              <w:ind w:left="0"/>
              <w:jc w:val="both"/>
              <w:rPr>
                <w:rFonts w:ascii="Times New Roman" w:hAnsi="Times New Roman"/>
                <w:sz w:val="24"/>
                <w:szCs w:val="24"/>
              </w:rPr>
            </w:pPr>
            <w:r w:rsidRPr="00EF222F">
              <w:rPr>
                <w:rFonts w:ascii="Times New Roman" w:hAnsi="Times New Roman"/>
                <w:sz w:val="24"/>
                <w:szCs w:val="24"/>
              </w:rPr>
              <w:t>внесение записи о зачислении указанных ценных бумаг по эмиссионному счету и передача депозитарию документарной ценной бумаги (документарных ценных бумаг) с обязательным централизованным хранением – в случае размещения документарных эмиссионных ценных бумаг;</w:t>
            </w:r>
          </w:p>
          <w:p w14:paraId="0504E770" w14:textId="77777777" w:rsidR="00EF222F" w:rsidRPr="00EF222F" w:rsidRDefault="00EF222F" w:rsidP="00F3569E">
            <w:pPr>
              <w:pStyle w:val="a7"/>
              <w:spacing w:after="0" w:line="240" w:lineRule="auto"/>
              <w:ind w:left="0"/>
              <w:jc w:val="both"/>
              <w:rPr>
                <w:rFonts w:ascii="Times New Roman" w:hAnsi="Times New Roman"/>
                <w:sz w:val="24"/>
                <w:szCs w:val="24"/>
              </w:rPr>
            </w:pPr>
            <w:r w:rsidRPr="00EF222F">
              <w:rPr>
                <w:rFonts w:ascii="Times New Roman" w:hAnsi="Times New Roman"/>
                <w:sz w:val="24"/>
                <w:szCs w:val="24"/>
              </w:rPr>
              <w:t xml:space="preserve">внесение записи о зачислении указанных ценных бумаг по эмиссионному счету </w:t>
            </w:r>
            <w:r w:rsidRPr="009C22ED">
              <w:rPr>
                <w:rFonts w:ascii="Times New Roman" w:hAnsi="Times New Roman"/>
                <w:b/>
                <w:bCs/>
                <w:sz w:val="24"/>
                <w:szCs w:val="24"/>
              </w:rPr>
              <w:t xml:space="preserve">и принятие депозитарием </w:t>
            </w:r>
            <w:r w:rsidRPr="009C22ED">
              <w:rPr>
                <w:rFonts w:ascii="Times New Roman" w:hAnsi="Times New Roman"/>
                <w:b/>
                <w:bCs/>
                <w:sz w:val="24"/>
                <w:szCs w:val="24"/>
              </w:rPr>
              <w:lastRenderedPageBreak/>
              <w:t>решения о выпуске (дополнительном выпуске) указанных ценных бумаг после регистрации указанного выпуска (дополнительного выпуска),</w:t>
            </w:r>
            <w:r w:rsidRPr="00EF222F">
              <w:rPr>
                <w:rFonts w:ascii="Times New Roman" w:hAnsi="Times New Roman"/>
                <w:sz w:val="24"/>
                <w:szCs w:val="24"/>
              </w:rPr>
              <w:t xml:space="preserve"> содержащего указание на него как на лицо, осуществляющее обязательное централизованное хранение указанных ценных бумаг (централизованный учет прав на указанные ценные бумаги), </w:t>
            </w:r>
            <w:r w:rsidRPr="00BA35F5">
              <w:rPr>
                <w:rFonts w:ascii="Times New Roman" w:hAnsi="Times New Roman"/>
                <w:b/>
                <w:bCs/>
                <w:sz w:val="24"/>
                <w:szCs w:val="24"/>
              </w:rPr>
              <w:t>или иного документа, закрепляющего совокупность прав по ценным бумагам</w:t>
            </w:r>
            <w:r w:rsidRPr="00EF222F">
              <w:rPr>
                <w:rFonts w:ascii="Times New Roman" w:hAnsi="Times New Roman"/>
                <w:sz w:val="24"/>
                <w:szCs w:val="24"/>
              </w:rPr>
              <w:t>, и иных документов, если их представление предусмотрено договором депозитария с эмитентом указанных ценных бумаг, – в случае размещения бездокументарных эмиссионных ценных бумаг;</w:t>
            </w:r>
          </w:p>
          <w:p w14:paraId="282F74E0" w14:textId="77777777" w:rsidR="00EF222F" w:rsidRPr="00EF222F" w:rsidRDefault="00EF222F" w:rsidP="00F3569E">
            <w:pPr>
              <w:pStyle w:val="a7"/>
              <w:spacing w:after="0" w:line="240" w:lineRule="auto"/>
              <w:ind w:left="0"/>
              <w:jc w:val="both"/>
              <w:rPr>
                <w:rFonts w:ascii="Times New Roman" w:hAnsi="Times New Roman"/>
                <w:sz w:val="24"/>
                <w:szCs w:val="24"/>
              </w:rPr>
            </w:pPr>
            <w:r w:rsidRPr="00EF222F">
              <w:rPr>
                <w:rFonts w:ascii="Times New Roman" w:hAnsi="Times New Roman"/>
                <w:sz w:val="24"/>
                <w:szCs w:val="24"/>
              </w:rPr>
              <w:t>внесение записи о зачислении указанных ценных бумаг по счету депо и принятие депозитарием поручения клиринговой организации, сформировавшей имущественный пул, на выдачу клиринговых сертификатов участия, – в случае выдачи клиринговых сертификатов участия;</w:t>
            </w:r>
          </w:p>
          <w:p w14:paraId="3FA39043" w14:textId="77777777" w:rsidR="00EF222F" w:rsidRPr="00EF222F" w:rsidRDefault="00EF222F" w:rsidP="00F3569E">
            <w:pPr>
              <w:pStyle w:val="a7"/>
              <w:spacing w:after="0" w:line="240" w:lineRule="auto"/>
              <w:ind w:left="0"/>
              <w:jc w:val="both"/>
              <w:rPr>
                <w:rFonts w:ascii="Times New Roman" w:hAnsi="Times New Roman"/>
                <w:sz w:val="24"/>
                <w:szCs w:val="24"/>
              </w:rPr>
            </w:pPr>
            <w:r w:rsidRPr="00EF222F">
              <w:rPr>
                <w:rFonts w:ascii="Times New Roman" w:hAnsi="Times New Roman"/>
                <w:sz w:val="24"/>
                <w:szCs w:val="24"/>
              </w:rPr>
              <w:t>внесение записи о зачислении указанных ценных бумаг по счету депо номинального держателя, открытому депозитарию, ранее осуществлявшему обязательное централизованное хранение указанных ценных бумаг, и передача депозитарию документарной ценной бумаги (документарных ценных бумаг) с обязательным централизованным хранением – в случае смены депозитария, осуществляющего обязательное централизованное хранение документарных эмиссионных ценных бумаг;</w:t>
            </w:r>
          </w:p>
          <w:p w14:paraId="00E240D9" w14:textId="47808D0C" w:rsidR="00EF222F" w:rsidRPr="00EF222F" w:rsidRDefault="00EF222F" w:rsidP="00F3569E">
            <w:pPr>
              <w:pStyle w:val="a7"/>
              <w:spacing w:after="0" w:line="240" w:lineRule="auto"/>
              <w:ind w:left="0"/>
              <w:jc w:val="both"/>
              <w:rPr>
                <w:rFonts w:ascii="Times New Roman" w:hAnsi="Times New Roman"/>
                <w:sz w:val="24"/>
                <w:szCs w:val="24"/>
              </w:rPr>
            </w:pPr>
            <w:r w:rsidRPr="00EF222F">
              <w:rPr>
                <w:rFonts w:ascii="Times New Roman" w:hAnsi="Times New Roman"/>
                <w:sz w:val="24"/>
                <w:szCs w:val="24"/>
              </w:rPr>
              <w:t xml:space="preserve">внесение записи о зачислении указанных ценных бумаг по счету депо номинального держателя, открытому депозитарию, ранее осуществлявшему обязательное </w:t>
            </w:r>
            <w:r w:rsidRPr="00EF222F">
              <w:rPr>
                <w:rFonts w:ascii="Times New Roman" w:hAnsi="Times New Roman"/>
                <w:sz w:val="24"/>
                <w:szCs w:val="24"/>
              </w:rPr>
              <w:lastRenderedPageBreak/>
              <w:t>централизованное хранение указанных ценных бумаг (централизованный учет прав на указанные ценные бумаги), и принятие депозитарием решения о выпуске (дополнительном выпуске) указанных ценных бумаг после регистрации указанного выпуска (дополнительного выпуска), содержащего указание на него как на лицо, осуществляющее обязательное централизованное хранение указанных ценных бумаг (централизованный учет прав на указанные ценные бумаги), и иных документов, если их представление предусмотрено договором депозитария с эмитентом указанных ценных бумаг, – в случае смены депозитария, осуществляющего централизованный учет прав на ценные бумаги</w:t>
            </w:r>
            <w:r w:rsidR="00A62AA6">
              <w:rPr>
                <w:rFonts w:ascii="Times New Roman" w:hAnsi="Times New Roman"/>
                <w:sz w:val="24"/>
                <w:szCs w:val="24"/>
              </w:rPr>
              <w:t>».</w:t>
            </w:r>
          </w:p>
          <w:p w14:paraId="68755305" w14:textId="661249D3" w:rsidR="007A0443" w:rsidRPr="00EF222F" w:rsidRDefault="007A0443" w:rsidP="00F3569E">
            <w:pPr>
              <w:pStyle w:val="a7"/>
              <w:spacing w:after="0" w:line="240" w:lineRule="auto"/>
              <w:ind w:left="0"/>
              <w:jc w:val="both"/>
              <w:rPr>
                <w:rFonts w:ascii="Times New Roman" w:hAnsi="Times New Roman"/>
                <w:sz w:val="24"/>
                <w:szCs w:val="24"/>
              </w:rPr>
            </w:pPr>
          </w:p>
        </w:tc>
        <w:tc>
          <w:tcPr>
            <w:tcW w:w="4819" w:type="dxa"/>
          </w:tcPr>
          <w:p w14:paraId="77FEC5E6" w14:textId="7A5247E7" w:rsidR="00AE4D51" w:rsidRDefault="00BC6874" w:rsidP="00405087">
            <w:pPr>
              <w:pStyle w:val="a7"/>
              <w:spacing w:after="0" w:line="240" w:lineRule="auto"/>
              <w:ind w:left="0"/>
              <w:jc w:val="both"/>
              <w:rPr>
                <w:rFonts w:ascii="Times New Roman" w:hAnsi="Times New Roman"/>
                <w:sz w:val="24"/>
                <w:szCs w:val="24"/>
              </w:rPr>
            </w:pPr>
            <w:r w:rsidRPr="00BC6874">
              <w:rPr>
                <w:rFonts w:ascii="Times New Roman" w:hAnsi="Times New Roman"/>
                <w:sz w:val="24"/>
                <w:szCs w:val="24"/>
              </w:rPr>
              <w:lastRenderedPageBreak/>
              <w:t>Формулировка в проекте Указания не учитывает случаи зачисления на счет централизованного учета ценных бумаг иностранного эмитента, у которого в соответствии с законодательством страны его регистрации может отсутствовать документ «решение о выпуске ценных бумаг».</w:t>
            </w:r>
          </w:p>
        </w:tc>
      </w:tr>
      <w:tr w:rsidR="00AE7716" w:rsidRPr="00A15536" w14:paraId="57DA710B" w14:textId="77777777" w:rsidTr="008E1A55">
        <w:trPr>
          <w:trHeight w:val="1725"/>
        </w:trPr>
        <w:tc>
          <w:tcPr>
            <w:tcW w:w="973" w:type="dxa"/>
          </w:tcPr>
          <w:p w14:paraId="691F144E" w14:textId="3706205D" w:rsidR="00AE7716" w:rsidRDefault="00786F61" w:rsidP="00631E9E">
            <w:pPr>
              <w:spacing w:after="0" w:line="240" w:lineRule="auto"/>
              <w:jc w:val="both"/>
              <w:rPr>
                <w:rFonts w:ascii="Times New Roman" w:hAnsi="Times New Roman"/>
                <w:sz w:val="24"/>
                <w:szCs w:val="24"/>
              </w:rPr>
            </w:pPr>
            <w:r>
              <w:rPr>
                <w:rFonts w:ascii="Times New Roman" w:hAnsi="Times New Roman"/>
                <w:sz w:val="24"/>
                <w:szCs w:val="24"/>
              </w:rPr>
              <w:lastRenderedPageBreak/>
              <w:t>7.</w:t>
            </w:r>
          </w:p>
        </w:tc>
        <w:tc>
          <w:tcPr>
            <w:tcW w:w="2991" w:type="dxa"/>
          </w:tcPr>
          <w:p w14:paraId="685AE83F" w14:textId="339E785F" w:rsidR="00AE7716" w:rsidRPr="00AE4D51" w:rsidRDefault="00AE7716" w:rsidP="00631E9E">
            <w:pPr>
              <w:spacing w:after="0" w:line="240" w:lineRule="auto"/>
              <w:jc w:val="both"/>
              <w:rPr>
                <w:rFonts w:ascii="Times New Roman" w:hAnsi="Times New Roman"/>
                <w:sz w:val="24"/>
                <w:szCs w:val="24"/>
              </w:rPr>
            </w:pPr>
            <w:r>
              <w:rPr>
                <w:rFonts w:ascii="Times New Roman" w:hAnsi="Times New Roman"/>
                <w:sz w:val="24"/>
                <w:szCs w:val="24"/>
              </w:rPr>
              <w:t>Пункт 1.21 проекта Указания</w:t>
            </w:r>
          </w:p>
        </w:tc>
        <w:tc>
          <w:tcPr>
            <w:tcW w:w="5954" w:type="dxa"/>
          </w:tcPr>
          <w:p w14:paraId="7DA1B4A4" w14:textId="77777777" w:rsidR="00AE7716" w:rsidRPr="00606012" w:rsidRDefault="00606012" w:rsidP="00606012">
            <w:pPr>
              <w:pStyle w:val="a7"/>
              <w:spacing w:after="0" w:line="240" w:lineRule="auto"/>
              <w:ind w:left="0"/>
              <w:jc w:val="both"/>
              <w:rPr>
                <w:rFonts w:ascii="Times New Roman" w:hAnsi="Times New Roman"/>
                <w:b/>
                <w:bCs/>
                <w:sz w:val="24"/>
                <w:szCs w:val="24"/>
              </w:rPr>
            </w:pPr>
            <w:r w:rsidRPr="00606012">
              <w:rPr>
                <w:rFonts w:ascii="Times New Roman" w:hAnsi="Times New Roman"/>
                <w:b/>
                <w:bCs/>
                <w:sz w:val="24"/>
                <w:szCs w:val="24"/>
              </w:rPr>
              <w:t>Предложение.</w:t>
            </w:r>
          </w:p>
          <w:p w14:paraId="30929714" w14:textId="72241B08" w:rsidR="00606012" w:rsidRPr="00606012" w:rsidRDefault="00606012" w:rsidP="003D661E">
            <w:pPr>
              <w:pStyle w:val="a7"/>
              <w:numPr>
                <w:ilvl w:val="0"/>
                <w:numId w:val="7"/>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Пункт </w:t>
            </w:r>
            <w:r w:rsidRPr="00606012">
              <w:rPr>
                <w:rFonts w:ascii="Times New Roman" w:hAnsi="Times New Roman"/>
                <w:sz w:val="24"/>
                <w:szCs w:val="24"/>
              </w:rPr>
              <w:t xml:space="preserve">7.9. </w:t>
            </w:r>
            <w:r>
              <w:rPr>
                <w:rFonts w:ascii="Times New Roman" w:hAnsi="Times New Roman"/>
                <w:sz w:val="24"/>
                <w:szCs w:val="24"/>
              </w:rPr>
              <w:t>Положения изложить в следующей редакции: «</w:t>
            </w:r>
            <w:r w:rsidRPr="00606012">
              <w:rPr>
                <w:rFonts w:ascii="Times New Roman" w:hAnsi="Times New Roman"/>
                <w:sz w:val="24"/>
                <w:szCs w:val="24"/>
              </w:rPr>
              <w:t>Основанием для списания ценных бумаг со счета документарных ценных бумаг является передача депозитарием документарной ценной бумаги (документарных ценных бумаг) в связи с прекращением ее (их) хранения по указанию лица, по договору с которым осуществлено обездвижение, или привлечением депозитарием к исполнению своих обязанностей по хранению и  учету прав на документарную закладную другого депозитария, в случае если возможность такого привлечения предусмотрена депозитарным договором с депонентом, передавшим документарную закладную для ее хранения и учета прав на нее.</w:t>
            </w:r>
          </w:p>
          <w:p w14:paraId="02BA9C5B" w14:textId="77777777" w:rsidR="00606012" w:rsidRPr="00606012" w:rsidRDefault="00606012" w:rsidP="00606012">
            <w:pPr>
              <w:pStyle w:val="a7"/>
              <w:spacing w:after="0" w:line="240" w:lineRule="auto"/>
              <w:ind w:left="0"/>
              <w:jc w:val="both"/>
              <w:rPr>
                <w:rFonts w:ascii="Times New Roman" w:hAnsi="Times New Roman"/>
                <w:sz w:val="24"/>
                <w:szCs w:val="24"/>
              </w:rPr>
            </w:pPr>
            <w:r w:rsidRPr="00606012">
              <w:rPr>
                <w:rFonts w:ascii="Times New Roman" w:hAnsi="Times New Roman"/>
                <w:sz w:val="24"/>
                <w:szCs w:val="24"/>
              </w:rPr>
              <w:lastRenderedPageBreak/>
              <w:t>Основанием для списания электронной закладной со счета хранения бездокументарных ценных бумаг является одно из следующих событий:</w:t>
            </w:r>
          </w:p>
          <w:p w14:paraId="4C0D0A7A" w14:textId="77777777" w:rsidR="00606012" w:rsidRPr="00606012" w:rsidRDefault="00606012" w:rsidP="00606012">
            <w:pPr>
              <w:pStyle w:val="a7"/>
              <w:spacing w:after="0" w:line="240" w:lineRule="auto"/>
              <w:ind w:left="0"/>
              <w:jc w:val="both"/>
              <w:rPr>
                <w:rFonts w:ascii="Times New Roman" w:hAnsi="Times New Roman"/>
                <w:sz w:val="24"/>
                <w:szCs w:val="24"/>
              </w:rPr>
            </w:pPr>
            <w:r w:rsidRPr="00606012">
              <w:rPr>
                <w:rFonts w:ascii="Times New Roman" w:hAnsi="Times New Roman"/>
                <w:sz w:val="24"/>
                <w:szCs w:val="24"/>
              </w:rPr>
              <w:t>передача электронной закладной на хранение в другой депозитарий в случае смены депозитария, осуществляющего хранение электронной закладной;</w:t>
            </w:r>
          </w:p>
          <w:p w14:paraId="2B57C5BD" w14:textId="77777777" w:rsidR="00606012" w:rsidRPr="00606012" w:rsidRDefault="00606012" w:rsidP="00606012">
            <w:pPr>
              <w:pStyle w:val="a7"/>
              <w:spacing w:after="0" w:line="240" w:lineRule="auto"/>
              <w:ind w:left="0"/>
              <w:jc w:val="both"/>
              <w:rPr>
                <w:rFonts w:ascii="Times New Roman" w:hAnsi="Times New Roman"/>
                <w:sz w:val="24"/>
                <w:szCs w:val="24"/>
              </w:rPr>
            </w:pPr>
            <w:r w:rsidRPr="00606012">
              <w:rPr>
                <w:rFonts w:ascii="Times New Roman" w:hAnsi="Times New Roman"/>
                <w:sz w:val="24"/>
                <w:szCs w:val="24"/>
              </w:rPr>
              <w:t>получение от депозитария, осуществляющего учет и переход прав на электронную закладную, сведений о невозможности внесения записи по счету депо первоначального владельца электронной закладной или иного лица, осуществляющего права по электронной закладной;</w:t>
            </w:r>
          </w:p>
          <w:p w14:paraId="61499EDA" w14:textId="77777777" w:rsidR="00606012" w:rsidRPr="00606012" w:rsidRDefault="00606012" w:rsidP="00606012">
            <w:pPr>
              <w:pStyle w:val="a7"/>
              <w:spacing w:after="0" w:line="240" w:lineRule="auto"/>
              <w:ind w:left="0"/>
              <w:jc w:val="both"/>
              <w:rPr>
                <w:rFonts w:ascii="Times New Roman" w:hAnsi="Times New Roman"/>
                <w:sz w:val="24"/>
                <w:szCs w:val="24"/>
              </w:rPr>
            </w:pPr>
            <w:r w:rsidRPr="00606012">
              <w:rPr>
                <w:rFonts w:ascii="Times New Roman" w:hAnsi="Times New Roman"/>
                <w:sz w:val="24"/>
                <w:szCs w:val="24"/>
              </w:rPr>
              <w:t>получение депозитарием от органа регистрации прав уведомления о погашении регистрационной записи об ипотеке.</w:t>
            </w:r>
          </w:p>
          <w:p w14:paraId="605FFE11" w14:textId="77777777" w:rsidR="00606012" w:rsidRPr="00606012" w:rsidRDefault="00606012" w:rsidP="00606012">
            <w:pPr>
              <w:pStyle w:val="a7"/>
              <w:spacing w:after="0" w:line="240" w:lineRule="auto"/>
              <w:ind w:left="0"/>
              <w:jc w:val="both"/>
              <w:rPr>
                <w:rFonts w:ascii="Times New Roman" w:hAnsi="Times New Roman"/>
                <w:sz w:val="24"/>
                <w:szCs w:val="24"/>
              </w:rPr>
            </w:pPr>
            <w:r w:rsidRPr="00606012">
              <w:rPr>
                <w:rFonts w:ascii="Times New Roman" w:hAnsi="Times New Roman"/>
                <w:sz w:val="24"/>
                <w:szCs w:val="24"/>
              </w:rPr>
              <w:t>Основанием для списания ценных бумаг со счета централизованного учета ценных бумаг является:</w:t>
            </w:r>
          </w:p>
          <w:p w14:paraId="5DA2A917" w14:textId="77777777" w:rsidR="00606012" w:rsidRPr="00606012" w:rsidRDefault="00606012" w:rsidP="00606012">
            <w:pPr>
              <w:pStyle w:val="a7"/>
              <w:spacing w:after="0" w:line="240" w:lineRule="auto"/>
              <w:ind w:left="0"/>
              <w:jc w:val="both"/>
              <w:rPr>
                <w:rFonts w:ascii="Times New Roman" w:hAnsi="Times New Roman"/>
                <w:sz w:val="24"/>
                <w:szCs w:val="24"/>
              </w:rPr>
            </w:pPr>
            <w:r w:rsidRPr="00606012">
              <w:rPr>
                <w:rFonts w:ascii="Times New Roman" w:hAnsi="Times New Roman"/>
                <w:sz w:val="24"/>
                <w:szCs w:val="24"/>
              </w:rPr>
              <w:t xml:space="preserve">списание указанных ценных бумаг с эмиссионного счета </w:t>
            </w:r>
            <w:r w:rsidRPr="004005FA">
              <w:rPr>
                <w:rFonts w:ascii="Times New Roman" w:hAnsi="Times New Roman"/>
                <w:b/>
                <w:bCs/>
                <w:sz w:val="24"/>
                <w:szCs w:val="24"/>
              </w:rPr>
              <w:t>в связи с погашением выпуска эмиссионных ценных бумаг</w:t>
            </w:r>
            <w:r w:rsidRPr="00606012">
              <w:rPr>
                <w:rFonts w:ascii="Times New Roman" w:hAnsi="Times New Roman"/>
                <w:sz w:val="24"/>
                <w:szCs w:val="24"/>
              </w:rPr>
              <w:t xml:space="preserve"> или расторжение договора с эмитентом об оказании услуг об обязательном централизованном хранении указанных ценных бумаг (об оказании услуг по централизованному учету прав на указанные ценные бумаги) – при списании эмиссионных ценных бумаг;</w:t>
            </w:r>
          </w:p>
          <w:p w14:paraId="443DCC2B" w14:textId="72EBF7B0" w:rsidR="00606012" w:rsidRPr="00606012" w:rsidRDefault="00606012" w:rsidP="00606012">
            <w:pPr>
              <w:pStyle w:val="a7"/>
              <w:spacing w:after="0" w:line="240" w:lineRule="auto"/>
              <w:ind w:left="0"/>
              <w:jc w:val="both"/>
              <w:rPr>
                <w:rFonts w:ascii="Times New Roman" w:hAnsi="Times New Roman"/>
                <w:sz w:val="24"/>
                <w:szCs w:val="24"/>
              </w:rPr>
            </w:pPr>
            <w:r w:rsidRPr="00606012">
              <w:rPr>
                <w:rFonts w:ascii="Times New Roman" w:hAnsi="Times New Roman"/>
                <w:sz w:val="24"/>
                <w:szCs w:val="24"/>
              </w:rPr>
              <w:t>списание указанных ценных бумаг со счетов депо в связи с их погашением по поручению клиринговой организации, сформировавшей имущественный пул, – при списании клиринговых сертификатов участия</w:t>
            </w:r>
            <w:r>
              <w:rPr>
                <w:rFonts w:ascii="Times New Roman" w:hAnsi="Times New Roman"/>
                <w:sz w:val="24"/>
                <w:szCs w:val="24"/>
              </w:rPr>
              <w:t>».</w:t>
            </w:r>
          </w:p>
          <w:p w14:paraId="028CB905" w14:textId="4973E194" w:rsidR="00606012" w:rsidRPr="00606012" w:rsidRDefault="00606012" w:rsidP="00606012">
            <w:pPr>
              <w:pStyle w:val="a7"/>
              <w:spacing w:after="0" w:line="240" w:lineRule="auto"/>
              <w:ind w:left="0"/>
              <w:jc w:val="both"/>
              <w:rPr>
                <w:rFonts w:ascii="Times New Roman" w:hAnsi="Times New Roman"/>
                <w:sz w:val="24"/>
                <w:szCs w:val="24"/>
              </w:rPr>
            </w:pPr>
          </w:p>
        </w:tc>
        <w:tc>
          <w:tcPr>
            <w:tcW w:w="4819" w:type="dxa"/>
          </w:tcPr>
          <w:p w14:paraId="421B9003" w14:textId="60A217BD" w:rsidR="00AE7716" w:rsidRDefault="003D661E" w:rsidP="003D661E">
            <w:pPr>
              <w:pStyle w:val="a7"/>
              <w:numPr>
                <w:ilvl w:val="0"/>
                <w:numId w:val="6"/>
              </w:numPr>
              <w:spacing w:after="0" w:line="240" w:lineRule="auto"/>
              <w:ind w:left="0"/>
              <w:jc w:val="both"/>
              <w:rPr>
                <w:rFonts w:ascii="Times New Roman" w:hAnsi="Times New Roman"/>
                <w:sz w:val="24"/>
                <w:szCs w:val="24"/>
              </w:rPr>
            </w:pPr>
            <w:r w:rsidRPr="0024119D">
              <w:rPr>
                <w:rFonts w:ascii="Times New Roman" w:hAnsi="Times New Roman"/>
                <w:b/>
                <w:bCs/>
                <w:sz w:val="24"/>
                <w:szCs w:val="24"/>
              </w:rPr>
              <w:lastRenderedPageBreak/>
              <w:t>1.</w:t>
            </w:r>
            <w:r>
              <w:rPr>
                <w:rFonts w:ascii="Times New Roman" w:hAnsi="Times New Roman"/>
                <w:sz w:val="24"/>
                <w:szCs w:val="24"/>
              </w:rPr>
              <w:t xml:space="preserve"> </w:t>
            </w:r>
            <w:r w:rsidR="00F27BDE" w:rsidRPr="00F27BDE">
              <w:rPr>
                <w:rFonts w:ascii="Times New Roman" w:hAnsi="Times New Roman"/>
                <w:sz w:val="24"/>
                <w:szCs w:val="24"/>
              </w:rPr>
              <w:t>В течение срока обращения облигации могут быть погашены досрочно по требованию их владельцев, при этом изменения в решение о выпуске (условия размещения ценных бумаг) не вносятся.</w:t>
            </w:r>
          </w:p>
          <w:p w14:paraId="5EEDE14B" w14:textId="7B92E13B" w:rsidR="003D661E" w:rsidRPr="003D661E" w:rsidRDefault="003D661E" w:rsidP="003D661E">
            <w:pPr>
              <w:pStyle w:val="a7"/>
              <w:numPr>
                <w:ilvl w:val="0"/>
                <w:numId w:val="6"/>
              </w:numPr>
              <w:spacing w:after="0" w:line="240" w:lineRule="auto"/>
              <w:ind w:left="0"/>
              <w:jc w:val="both"/>
              <w:rPr>
                <w:rFonts w:ascii="Times New Roman" w:hAnsi="Times New Roman"/>
                <w:sz w:val="24"/>
                <w:szCs w:val="24"/>
              </w:rPr>
            </w:pPr>
            <w:r w:rsidRPr="0024119D">
              <w:rPr>
                <w:rFonts w:ascii="Times New Roman" w:hAnsi="Times New Roman"/>
                <w:b/>
                <w:bCs/>
                <w:sz w:val="24"/>
                <w:szCs w:val="24"/>
              </w:rPr>
              <w:t>2.</w:t>
            </w:r>
            <w:r>
              <w:rPr>
                <w:rFonts w:ascii="Times New Roman" w:hAnsi="Times New Roman"/>
                <w:sz w:val="24"/>
                <w:szCs w:val="24"/>
              </w:rPr>
              <w:t xml:space="preserve"> </w:t>
            </w:r>
            <w:r w:rsidRPr="003D661E">
              <w:rPr>
                <w:rFonts w:ascii="Times New Roman" w:hAnsi="Times New Roman"/>
                <w:sz w:val="24"/>
                <w:szCs w:val="24"/>
              </w:rPr>
              <w:t xml:space="preserve">В п.1.21 Указания предлагается п.7.9 Положения №503-П дополнить абзацами следующего содержания: </w:t>
            </w:r>
          </w:p>
          <w:p w14:paraId="66E8D3A2" w14:textId="77777777" w:rsidR="003D661E" w:rsidRPr="003D661E" w:rsidRDefault="003D661E" w:rsidP="003D661E">
            <w:pPr>
              <w:pStyle w:val="a7"/>
              <w:spacing w:after="0" w:line="240" w:lineRule="auto"/>
              <w:ind w:left="0"/>
              <w:jc w:val="both"/>
              <w:rPr>
                <w:rFonts w:ascii="Times New Roman" w:hAnsi="Times New Roman"/>
                <w:sz w:val="24"/>
                <w:szCs w:val="24"/>
              </w:rPr>
            </w:pPr>
            <w:r w:rsidRPr="003D661E">
              <w:rPr>
                <w:rFonts w:ascii="Times New Roman" w:hAnsi="Times New Roman"/>
                <w:sz w:val="24"/>
                <w:szCs w:val="24"/>
              </w:rPr>
              <w:t>«Основанием для списания ценных бумаг со счета централизованного учета ценных бумаг является:</w:t>
            </w:r>
          </w:p>
          <w:p w14:paraId="0D0BE272" w14:textId="77777777" w:rsidR="003D661E" w:rsidRPr="003D661E" w:rsidRDefault="003D661E" w:rsidP="003D661E">
            <w:pPr>
              <w:pStyle w:val="a7"/>
              <w:spacing w:after="0" w:line="240" w:lineRule="auto"/>
              <w:ind w:left="0"/>
              <w:jc w:val="both"/>
              <w:rPr>
                <w:rFonts w:ascii="Times New Roman" w:hAnsi="Times New Roman"/>
                <w:sz w:val="24"/>
                <w:szCs w:val="24"/>
              </w:rPr>
            </w:pPr>
            <w:r w:rsidRPr="003D661E">
              <w:rPr>
                <w:rFonts w:ascii="Times New Roman" w:hAnsi="Times New Roman"/>
                <w:sz w:val="24"/>
                <w:szCs w:val="24"/>
              </w:rPr>
              <w:t>списание указанных ценных бумаг с эмиссионного счета в связи с их погашением или расторжение договора с эмитентом…».</w:t>
            </w:r>
          </w:p>
          <w:p w14:paraId="775E7F3B" w14:textId="77777777" w:rsidR="00D82990" w:rsidRPr="00D82990" w:rsidRDefault="00D82990" w:rsidP="003D661E">
            <w:pPr>
              <w:pStyle w:val="a7"/>
              <w:spacing w:after="0" w:line="240" w:lineRule="auto"/>
              <w:ind w:left="0"/>
              <w:jc w:val="both"/>
              <w:rPr>
                <w:rFonts w:ascii="Times New Roman" w:hAnsi="Times New Roman"/>
                <w:b/>
                <w:bCs/>
                <w:sz w:val="24"/>
                <w:szCs w:val="24"/>
              </w:rPr>
            </w:pPr>
            <w:r w:rsidRPr="00D82990">
              <w:rPr>
                <w:rFonts w:ascii="Times New Roman" w:hAnsi="Times New Roman"/>
                <w:b/>
                <w:bCs/>
                <w:sz w:val="24"/>
                <w:szCs w:val="24"/>
              </w:rPr>
              <w:t>Вопрос:</w:t>
            </w:r>
          </w:p>
          <w:p w14:paraId="00EF5ABA" w14:textId="624B7478" w:rsidR="00D82990" w:rsidRDefault="00D82990" w:rsidP="003D661E">
            <w:pPr>
              <w:pStyle w:val="a7"/>
              <w:spacing w:after="0" w:line="240" w:lineRule="auto"/>
              <w:ind w:left="0"/>
              <w:jc w:val="both"/>
              <w:rPr>
                <w:rFonts w:ascii="Times New Roman" w:hAnsi="Times New Roman"/>
                <w:sz w:val="24"/>
                <w:szCs w:val="24"/>
              </w:rPr>
            </w:pPr>
            <w:r>
              <w:rPr>
                <w:rFonts w:ascii="Times New Roman" w:hAnsi="Times New Roman"/>
                <w:sz w:val="24"/>
                <w:szCs w:val="24"/>
              </w:rPr>
              <w:t>П</w:t>
            </w:r>
            <w:r w:rsidR="003D661E" w:rsidRPr="003D661E">
              <w:rPr>
                <w:rFonts w:ascii="Times New Roman" w:hAnsi="Times New Roman"/>
                <w:sz w:val="24"/>
                <w:szCs w:val="24"/>
              </w:rPr>
              <w:t>равильно пон</w:t>
            </w:r>
            <w:r>
              <w:rPr>
                <w:rFonts w:ascii="Times New Roman" w:hAnsi="Times New Roman"/>
                <w:sz w:val="24"/>
                <w:szCs w:val="24"/>
              </w:rPr>
              <w:t>имать, что</w:t>
            </w:r>
            <w:r w:rsidR="003D661E" w:rsidRPr="003D661E">
              <w:rPr>
                <w:rFonts w:ascii="Times New Roman" w:hAnsi="Times New Roman"/>
                <w:sz w:val="24"/>
                <w:szCs w:val="24"/>
              </w:rPr>
              <w:t xml:space="preserve"> на активный счёт централизованного учёта ценных бумаг </w:t>
            </w:r>
            <w:r w:rsidR="003D661E" w:rsidRPr="003D661E">
              <w:rPr>
                <w:rFonts w:ascii="Times New Roman" w:hAnsi="Times New Roman"/>
                <w:sz w:val="24"/>
                <w:szCs w:val="24"/>
              </w:rPr>
              <w:lastRenderedPageBreak/>
              <w:t>зачисляются ценные бумаги только в случае зачисления их на пассивный эмиссионный счёт</w:t>
            </w:r>
            <w:r>
              <w:rPr>
                <w:rFonts w:ascii="Times New Roman" w:hAnsi="Times New Roman"/>
                <w:sz w:val="24"/>
                <w:szCs w:val="24"/>
              </w:rPr>
              <w:t>?</w:t>
            </w:r>
            <w:r w:rsidR="003D661E" w:rsidRPr="003D661E">
              <w:rPr>
                <w:rFonts w:ascii="Times New Roman" w:hAnsi="Times New Roman"/>
                <w:sz w:val="24"/>
                <w:szCs w:val="24"/>
              </w:rPr>
              <w:t xml:space="preserve"> Аналогично происходит и при списании ценных бумаг. Но ценные бумаги списываются с эмиссионного счёта и при их размещении. </w:t>
            </w:r>
            <w:r>
              <w:rPr>
                <w:rFonts w:ascii="Times New Roman" w:hAnsi="Times New Roman"/>
                <w:sz w:val="24"/>
                <w:szCs w:val="24"/>
              </w:rPr>
              <w:t>Т</w:t>
            </w:r>
            <w:r w:rsidR="003D661E" w:rsidRPr="003D661E">
              <w:rPr>
                <w:rFonts w:ascii="Times New Roman" w:hAnsi="Times New Roman"/>
                <w:sz w:val="24"/>
                <w:szCs w:val="24"/>
              </w:rPr>
              <w:t>огда в предлагаемых абзацах отсутствует это основание для списания ценных бумаг с упомянутых здесь счетов</w:t>
            </w:r>
            <w:r>
              <w:rPr>
                <w:rFonts w:ascii="Times New Roman" w:hAnsi="Times New Roman"/>
                <w:sz w:val="24"/>
                <w:szCs w:val="24"/>
              </w:rPr>
              <w:t>.</w:t>
            </w:r>
            <w:r w:rsidR="003D661E" w:rsidRPr="003D661E">
              <w:rPr>
                <w:rFonts w:ascii="Times New Roman" w:hAnsi="Times New Roman"/>
                <w:sz w:val="24"/>
                <w:szCs w:val="24"/>
              </w:rPr>
              <w:t xml:space="preserve"> </w:t>
            </w:r>
            <w:r>
              <w:rPr>
                <w:rFonts w:ascii="Times New Roman" w:hAnsi="Times New Roman"/>
                <w:sz w:val="24"/>
                <w:szCs w:val="24"/>
              </w:rPr>
              <w:t xml:space="preserve">Верно ли </w:t>
            </w:r>
            <w:r w:rsidR="003D661E" w:rsidRPr="003D661E">
              <w:rPr>
                <w:rFonts w:ascii="Times New Roman" w:hAnsi="Times New Roman"/>
                <w:sz w:val="24"/>
                <w:szCs w:val="24"/>
              </w:rPr>
              <w:t>пред</w:t>
            </w:r>
            <w:r>
              <w:rPr>
                <w:rFonts w:ascii="Times New Roman" w:hAnsi="Times New Roman"/>
                <w:sz w:val="24"/>
                <w:szCs w:val="24"/>
              </w:rPr>
              <w:t>положение, что</w:t>
            </w:r>
            <w:r w:rsidR="003D661E" w:rsidRPr="003D661E">
              <w:rPr>
                <w:rFonts w:ascii="Times New Roman" w:hAnsi="Times New Roman"/>
                <w:sz w:val="24"/>
                <w:szCs w:val="24"/>
              </w:rPr>
              <w:t xml:space="preserve"> </w:t>
            </w:r>
            <w:r>
              <w:rPr>
                <w:rFonts w:ascii="Times New Roman" w:hAnsi="Times New Roman"/>
                <w:sz w:val="24"/>
                <w:szCs w:val="24"/>
              </w:rPr>
              <w:t xml:space="preserve">необходимо </w:t>
            </w:r>
            <w:r w:rsidR="003D661E" w:rsidRPr="003D661E">
              <w:rPr>
                <w:rFonts w:ascii="Times New Roman" w:hAnsi="Times New Roman"/>
                <w:sz w:val="24"/>
                <w:szCs w:val="24"/>
              </w:rPr>
              <w:t xml:space="preserve">учитывать один и тот же выпуск размещённых ценных бумаг дважды: </w:t>
            </w:r>
          </w:p>
          <w:p w14:paraId="3D04798C" w14:textId="77777777" w:rsidR="00D82990" w:rsidRDefault="00D82990" w:rsidP="003D661E">
            <w:pPr>
              <w:pStyle w:val="a7"/>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3D661E" w:rsidRPr="003D661E">
              <w:rPr>
                <w:rFonts w:ascii="Times New Roman" w:hAnsi="Times New Roman"/>
                <w:sz w:val="24"/>
                <w:szCs w:val="24"/>
              </w:rPr>
              <w:t xml:space="preserve">и на счетах депо владельцев, </w:t>
            </w:r>
          </w:p>
          <w:p w14:paraId="6BA29927" w14:textId="255B9340" w:rsidR="003D661E" w:rsidRPr="00BC6874" w:rsidRDefault="00D82990" w:rsidP="003D661E">
            <w:pPr>
              <w:pStyle w:val="a7"/>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3D661E" w:rsidRPr="003D661E">
              <w:rPr>
                <w:rFonts w:ascii="Times New Roman" w:hAnsi="Times New Roman"/>
                <w:sz w:val="24"/>
                <w:szCs w:val="24"/>
              </w:rPr>
              <w:t>и на эмиссионном счёте до момента погашения или расторжения договора с эмитентом</w:t>
            </w:r>
            <w:r>
              <w:rPr>
                <w:rFonts w:ascii="Times New Roman" w:hAnsi="Times New Roman"/>
                <w:sz w:val="24"/>
                <w:szCs w:val="24"/>
              </w:rPr>
              <w:t>?</w:t>
            </w:r>
          </w:p>
        </w:tc>
      </w:tr>
      <w:tr w:rsidR="0082506A" w:rsidRPr="00A15536" w14:paraId="6CE37324" w14:textId="77777777" w:rsidTr="008E1A55">
        <w:trPr>
          <w:trHeight w:val="1725"/>
        </w:trPr>
        <w:tc>
          <w:tcPr>
            <w:tcW w:w="973" w:type="dxa"/>
          </w:tcPr>
          <w:p w14:paraId="205E3E73" w14:textId="0533A72D" w:rsidR="0082506A" w:rsidRDefault="00786F61" w:rsidP="00631E9E">
            <w:pPr>
              <w:spacing w:after="0" w:line="240" w:lineRule="auto"/>
              <w:jc w:val="both"/>
              <w:rPr>
                <w:rFonts w:ascii="Times New Roman" w:hAnsi="Times New Roman"/>
                <w:sz w:val="24"/>
                <w:szCs w:val="24"/>
              </w:rPr>
            </w:pPr>
            <w:r>
              <w:rPr>
                <w:rFonts w:ascii="Times New Roman" w:hAnsi="Times New Roman"/>
                <w:sz w:val="24"/>
                <w:szCs w:val="24"/>
              </w:rPr>
              <w:lastRenderedPageBreak/>
              <w:t>8.</w:t>
            </w:r>
          </w:p>
        </w:tc>
        <w:tc>
          <w:tcPr>
            <w:tcW w:w="2991" w:type="dxa"/>
          </w:tcPr>
          <w:p w14:paraId="5A8E7733" w14:textId="087BF726" w:rsidR="0082506A" w:rsidRDefault="0082506A" w:rsidP="00631E9E">
            <w:pPr>
              <w:spacing w:after="0" w:line="240" w:lineRule="auto"/>
              <w:jc w:val="both"/>
              <w:rPr>
                <w:rFonts w:ascii="Times New Roman" w:hAnsi="Times New Roman"/>
                <w:sz w:val="24"/>
                <w:szCs w:val="24"/>
              </w:rPr>
            </w:pPr>
            <w:r>
              <w:rPr>
                <w:rFonts w:ascii="Times New Roman" w:hAnsi="Times New Roman"/>
                <w:sz w:val="24"/>
                <w:szCs w:val="24"/>
              </w:rPr>
              <w:t>Пункт 1.23 проекта Указания</w:t>
            </w:r>
          </w:p>
        </w:tc>
        <w:tc>
          <w:tcPr>
            <w:tcW w:w="5954" w:type="dxa"/>
          </w:tcPr>
          <w:p w14:paraId="628A912B" w14:textId="77777777" w:rsidR="0082506A" w:rsidRPr="00FC279B" w:rsidRDefault="00FC279B" w:rsidP="00FC279B">
            <w:pPr>
              <w:pStyle w:val="a7"/>
              <w:spacing w:after="0" w:line="240" w:lineRule="auto"/>
              <w:ind w:left="0"/>
              <w:jc w:val="both"/>
              <w:rPr>
                <w:rFonts w:ascii="Times New Roman" w:hAnsi="Times New Roman"/>
                <w:b/>
                <w:bCs/>
                <w:sz w:val="24"/>
                <w:szCs w:val="24"/>
              </w:rPr>
            </w:pPr>
            <w:r w:rsidRPr="00FC279B">
              <w:rPr>
                <w:rFonts w:ascii="Times New Roman" w:hAnsi="Times New Roman"/>
                <w:b/>
                <w:bCs/>
                <w:sz w:val="24"/>
                <w:szCs w:val="24"/>
              </w:rPr>
              <w:t>Предложение.</w:t>
            </w:r>
          </w:p>
          <w:p w14:paraId="5C2C5F11" w14:textId="77777777" w:rsidR="00745AFA" w:rsidRDefault="00FC279B" w:rsidP="00FC279B">
            <w:pPr>
              <w:pStyle w:val="a7"/>
              <w:spacing w:after="0" w:line="240" w:lineRule="auto"/>
              <w:ind w:left="0"/>
              <w:jc w:val="both"/>
              <w:rPr>
                <w:rFonts w:ascii="Times New Roman" w:hAnsi="Times New Roman"/>
                <w:sz w:val="24"/>
                <w:szCs w:val="24"/>
              </w:rPr>
            </w:pPr>
            <w:r w:rsidRPr="00FC279B">
              <w:rPr>
                <w:rFonts w:ascii="Times New Roman" w:hAnsi="Times New Roman"/>
                <w:sz w:val="24"/>
                <w:szCs w:val="24"/>
              </w:rPr>
              <w:t>Пункт 7.15 Положения изложить в следующей редакции:</w:t>
            </w:r>
          </w:p>
          <w:p w14:paraId="04C8A8A8" w14:textId="25A8EA2C" w:rsidR="00FC279B" w:rsidRPr="00FC279B" w:rsidRDefault="00FC279B" w:rsidP="00FC279B">
            <w:pPr>
              <w:pStyle w:val="a7"/>
              <w:spacing w:after="0" w:line="240" w:lineRule="auto"/>
              <w:ind w:left="0"/>
              <w:jc w:val="both"/>
              <w:rPr>
                <w:rFonts w:ascii="Times New Roman" w:hAnsi="Times New Roman"/>
                <w:sz w:val="24"/>
                <w:szCs w:val="24"/>
              </w:rPr>
            </w:pPr>
            <w:r w:rsidRPr="00FC279B">
              <w:rPr>
                <w:rFonts w:ascii="Times New Roman" w:hAnsi="Times New Roman"/>
                <w:sz w:val="24"/>
                <w:szCs w:val="24"/>
              </w:rPr>
              <w:t xml:space="preserve"> «Списание эмиссионных ценных бумаг с эмиссионного счета при их размещении осуществляется не позднее рабочего дня, следующего за днем наступления более позднего из следующих событий:</w:t>
            </w:r>
          </w:p>
          <w:p w14:paraId="20FADB8C" w14:textId="77777777" w:rsidR="00FC279B" w:rsidRPr="00FC279B" w:rsidRDefault="00FC279B" w:rsidP="00FC279B">
            <w:pPr>
              <w:pStyle w:val="a7"/>
              <w:spacing w:after="0" w:line="240" w:lineRule="auto"/>
              <w:ind w:left="0"/>
              <w:jc w:val="both"/>
              <w:rPr>
                <w:rFonts w:ascii="Times New Roman" w:hAnsi="Times New Roman"/>
                <w:sz w:val="24"/>
                <w:szCs w:val="24"/>
              </w:rPr>
            </w:pPr>
            <w:r w:rsidRPr="00FC279B">
              <w:rPr>
                <w:rFonts w:ascii="Times New Roman" w:hAnsi="Times New Roman"/>
                <w:sz w:val="24"/>
                <w:szCs w:val="24"/>
              </w:rPr>
              <w:t>возникновения основания для списания эмиссионных ценных бумаг с эмиссионного счета;</w:t>
            </w:r>
          </w:p>
          <w:p w14:paraId="52C54B45" w14:textId="77777777" w:rsidR="00FC279B" w:rsidRPr="00FC279B" w:rsidRDefault="00FC279B" w:rsidP="00FC279B">
            <w:pPr>
              <w:pStyle w:val="a7"/>
              <w:spacing w:after="0" w:line="240" w:lineRule="auto"/>
              <w:ind w:left="0"/>
              <w:jc w:val="both"/>
              <w:rPr>
                <w:rFonts w:ascii="Times New Roman" w:hAnsi="Times New Roman"/>
                <w:sz w:val="24"/>
                <w:szCs w:val="24"/>
              </w:rPr>
            </w:pPr>
            <w:r w:rsidRPr="00FC279B">
              <w:rPr>
                <w:rFonts w:ascii="Times New Roman" w:hAnsi="Times New Roman"/>
                <w:sz w:val="24"/>
                <w:szCs w:val="24"/>
              </w:rPr>
              <w:t>возникновения основания для зачисления эмиссионных ценных бумаг на счет депо.</w:t>
            </w:r>
          </w:p>
          <w:p w14:paraId="75E585DB" w14:textId="77777777" w:rsidR="00FC279B" w:rsidRPr="00FC279B" w:rsidRDefault="00FC279B" w:rsidP="00FC279B">
            <w:pPr>
              <w:pStyle w:val="a7"/>
              <w:spacing w:after="0" w:line="240" w:lineRule="auto"/>
              <w:ind w:left="0"/>
              <w:jc w:val="both"/>
              <w:rPr>
                <w:rFonts w:ascii="Times New Roman" w:hAnsi="Times New Roman"/>
                <w:sz w:val="24"/>
                <w:szCs w:val="24"/>
              </w:rPr>
            </w:pPr>
          </w:p>
          <w:p w14:paraId="267FCCED" w14:textId="014D2311" w:rsidR="00FC279B" w:rsidRPr="00606012" w:rsidRDefault="00FC279B" w:rsidP="00FC279B">
            <w:pPr>
              <w:pStyle w:val="a7"/>
              <w:spacing w:after="0" w:line="240" w:lineRule="auto"/>
              <w:ind w:left="0"/>
              <w:jc w:val="both"/>
              <w:rPr>
                <w:rFonts w:ascii="Times New Roman" w:hAnsi="Times New Roman"/>
                <w:b/>
                <w:bCs/>
                <w:sz w:val="24"/>
                <w:szCs w:val="24"/>
              </w:rPr>
            </w:pPr>
            <w:r w:rsidRPr="00FC279B">
              <w:rPr>
                <w:rFonts w:ascii="Times New Roman" w:hAnsi="Times New Roman"/>
                <w:sz w:val="24"/>
                <w:szCs w:val="24"/>
              </w:rPr>
              <w:t xml:space="preserve">Списание ценных бумаг с эмиссионного счета </w:t>
            </w:r>
            <w:r w:rsidRPr="00DE430F">
              <w:rPr>
                <w:rFonts w:ascii="Times New Roman" w:hAnsi="Times New Roman"/>
                <w:b/>
                <w:bCs/>
                <w:sz w:val="24"/>
                <w:szCs w:val="24"/>
              </w:rPr>
              <w:t xml:space="preserve">при погашении выпуска эмиссионных ценных бумаг </w:t>
            </w:r>
            <w:r w:rsidRPr="00FC279B">
              <w:rPr>
                <w:rFonts w:ascii="Times New Roman" w:hAnsi="Times New Roman"/>
                <w:sz w:val="24"/>
                <w:szCs w:val="24"/>
              </w:rPr>
              <w:t>осуществляется не позднее рабочего дня, следующего за днем возникновения основания для списания указанных ценных бумаг</w:t>
            </w:r>
          </w:p>
        </w:tc>
        <w:tc>
          <w:tcPr>
            <w:tcW w:w="4819" w:type="dxa"/>
          </w:tcPr>
          <w:p w14:paraId="0FE55B12" w14:textId="34EAF0F5" w:rsidR="0082506A" w:rsidRPr="00F27BDE" w:rsidRDefault="00265738" w:rsidP="00405087">
            <w:pPr>
              <w:pStyle w:val="a7"/>
              <w:spacing w:after="0" w:line="240" w:lineRule="auto"/>
              <w:ind w:left="0"/>
              <w:jc w:val="both"/>
              <w:rPr>
                <w:rFonts w:ascii="Times New Roman" w:hAnsi="Times New Roman"/>
                <w:sz w:val="24"/>
                <w:szCs w:val="24"/>
              </w:rPr>
            </w:pPr>
            <w:r w:rsidRPr="00265738">
              <w:rPr>
                <w:rFonts w:ascii="Times New Roman" w:hAnsi="Times New Roman"/>
                <w:sz w:val="24"/>
                <w:szCs w:val="24"/>
              </w:rPr>
              <w:t>В течение срока обращения облигации могут быть погашены досрочно по требованию их владельцев, при этом изменения в решение о выпуске (условия размещения ценных бумаг) не вносятся.</w:t>
            </w:r>
          </w:p>
        </w:tc>
      </w:tr>
      <w:tr w:rsidR="00E6097C" w:rsidRPr="00A15536" w14:paraId="70E62790" w14:textId="77777777" w:rsidTr="008E1A55">
        <w:trPr>
          <w:trHeight w:val="1725"/>
        </w:trPr>
        <w:tc>
          <w:tcPr>
            <w:tcW w:w="973" w:type="dxa"/>
          </w:tcPr>
          <w:p w14:paraId="6A943403" w14:textId="22662425" w:rsidR="00E6097C" w:rsidRDefault="00786F61" w:rsidP="00631E9E">
            <w:pPr>
              <w:spacing w:after="0" w:line="240" w:lineRule="auto"/>
              <w:jc w:val="both"/>
              <w:rPr>
                <w:rFonts w:ascii="Times New Roman" w:hAnsi="Times New Roman"/>
                <w:sz w:val="24"/>
                <w:szCs w:val="24"/>
              </w:rPr>
            </w:pPr>
            <w:r>
              <w:rPr>
                <w:rFonts w:ascii="Times New Roman" w:hAnsi="Times New Roman"/>
                <w:sz w:val="24"/>
                <w:szCs w:val="24"/>
              </w:rPr>
              <w:t>9.</w:t>
            </w:r>
          </w:p>
        </w:tc>
        <w:tc>
          <w:tcPr>
            <w:tcW w:w="2991" w:type="dxa"/>
          </w:tcPr>
          <w:p w14:paraId="529C398B" w14:textId="25E84832" w:rsidR="00E6097C" w:rsidRDefault="00E6097C" w:rsidP="00631E9E">
            <w:pPr>
              <w:spacing w:after="0" w:line="240" w:lineRule="auto"/>
              <w:jc w:val="both"/>
              <w:rPr>
                <w:rFonts w:ascii="Times New Roman" w:hAnsi="Times New Roman"/>
                <w:sz w:val="24"/>
                <w:szCs w:val="24"/>
              </w:rPr>
            </w:pPr>
            <w:r>
              <w:rPr>
                <w:rFonts w:ascii="Times New Roman" w:hAnsi="Times New Roman"/>
                <w:sz w:val="24"/>
                <w:szCs w:val="24"/>
              </w:rPr>
              <w:t>Пункт 1.26 проекта Указания</w:t>
            </w:r>
          </w:p>
        </w:tc>
        <w:tc>
          <w:tcPr>
            <w:tcW w:w="5954" w:type="dxa"/>
          </w:tcPr>
          <w:p w14:paraId="52FA3505" w14:textId="0FDD735A" w:rsidR="00FD2539" w:rsidRPr="006A3DC9" w:rsidRDefault="00FD2539" w:rsidP="00FC279B">
            <w:pPr>
              <w:pStyle w:val="a7"/>
              <w:spacing w:after="0" w:line="240" w:lineRule="auto"/>
              <w:ind w:left="0"/>
              <w:jc w:val="both"/>
              <w:rPr>
                <w:rFonts w:ascii="Times New Roman" w:hAnsi="Times New Roman"/>
                <w:b/>
                <w:bCs/>
                <w:sz w:val="24"/>
                <w:szCs w:val="24"/>
              </w:rPr>
            </w:pPr>
            <w:r w:rsidRPr="006A3DC9">
              <w:rPr>
                <w:rFonts w:ascii="Times New Roman" w:hAnsi="Times New Roman"/>
                <w:b/>
                <w:bCs/>
                <w:sz w:val="24"/>
                <w:szCs w:val="24"/>
              </w:rPr>
              <w:t>Предложение.</w:t>
            </w:r>
          </w:p>
          <w:p w14:paraId="4E587D42" w14:textId="7F015C32" w:rsidR="00E6097C" w:rsidRPr="00E6097C" w:rsidRDefault="00FD2539" w:rsidP="00FC279B">
            <w:pPr>
              <w:pStyle w:val="a7"/>
              <w:spacing w:after="0" w:line="240" w:lineRule="auto"/>
              <w:ind w:left="0"/>
              <w:jc w:val="both"/>
              <w:rPr>
                <w:rFonts w:ascii="Times New Roman" w:hAnsi="Times New Roman"/>
                <w:sz w:val="24"/>
                <w:szCs w:val="24"/>
              </w:rPr>
            </w:pPr>
            <w:r>
              <w:rPr>
                <w:rFonts w:ascii="Times New Roman" w:hAnsi="Times New Roman"/>
                <w:sz w:val="24"/>
                <w:szCs w:val="24"/>
              </w:rPr>
              <w:t xml:space="preserve">Пункт </w:t>
            </w:r>
            <w:r w:rsidR="00E6097C" w:rsidRPr="00E6097C">
              <w:rPr>
                <w:rFonts w:ascii="Times New Roman" w:hAnsi="Times New Roman"/>
                <w:sz w:val="24"/>
                <w:szCs w:val="24"/>
              </w:rPr>
              <w:t>11.2.</w:t>
            </w:r>
            <w:r>
              <w:rPr>
                <w:rFonts w:ascii="Times New Roman" w:hAnsi="Times New Roman"/>
                <w:sz w:val="24"/>
                <w:szCs w:val="24"/>
              </w:rPr>
              <w:t xml:space="preserve"> Положения изложить в следующей редакции:</w:t>
            </w:r>
            <w:r w:rsidR="00E6097C" w:rsidRPr="00E6097C">
              <w:rPr>
                <w:rFonts w:ascii="Times New Roman" w:hAnsi="Times New Roman"/>
                <w:sz w:val="24"/>
                <w:szCs w:val="24"/>
              </w:rPr>
              <w:t xml:space="preserve"> </w:t>
            </w:r>
            <w:r>
              <w:rPr>
                <w:rFonts w:ascii="Times New Roman" w:hAnsi="Times New Roman"/>
                <w:sz w:val="24"/>
                <w:szCs w:val="24"/>
              </w:rPr>
              <w:t>«</w:t>
            </w:r>
            <w:r w:rsidR="00E6097C" w:rsidRPr="00E6097C">
              <w:rPr>
                <w:rFonts w:ascii="Times New Roman" w:hAnsi="Times New Roman"/>
                <w:sz w:val="24"/>
                <w:szCs w:val="24"/>
              </w:rPr>
              <w:t xml:space="preserve">При наличии положительного остатка ценных бумаг </w:t>
            </w:r>
            <w:r w:rsidR="00E6097C" w:rsidRPr="00F657B3">
              <w:rPr>
                <w:rFonts w:ascii="Times New Roman" w:hAnsi="Times New Roman"/>
                <w:b/>
                <w:bCs/>
                <w:sz w:val="24"/>
                <w:szCs w:val="24"/>
              </w:rPr>
              <w:t>на счете депо владельца, счете депо доверительного управляющего, счете депо номинального держателя</w:t>
            </w:r>
            <w:r w:rsidR="00E6097C" w:rsidRPr="00E6097C">
              <w:rPr>
                <w:rFonts w:ascii="Times New Roman" w:hAnsi="Times New Roman"/>
                <w:sz w:val="24"/>
                <w:szCs w:val="24"/>
              </w:rPr>
              <w:t>, открытого ликвидированному депоненту - юридическому лицу, депозитарий, если это предусмотрено условиями осуществления депозитарной деятельности, вправе совершить действия, направленные на зачисление указанных ценных бумаг на счет неустановленных лиц, открытый соответственно держателем реестра или депозитарием, осуществляющим обязательное централизованное хранение ценных бумаг (централизованный учет прав на ценные бумаги)</w:t>
            </w:r>
            <w:r>
              <w:rPr>
                <w:rFonts w:ascii="Times New Roman" w:hAnsi="Times New Roman"/>
                <w:sz w:val="24"/>
                <w:szCs w:val="24"/>
              </w:rPr>
              <w:t>»</w:t>
            </w:r>
            <w:r w:rsidR="00E6097C" w:rsidRPr="00E6097C">
              <w:rPr>
                <w:rFonts w:ascii="Times New Roman" w:hAnsi="Times New Roman"/>
                <w:sz w:val="24"/>
                <w:szCs w:val="24"/>
              </w:rPr>
              <w:t>.</w:t>
            </w:r>
          </w:p>
        </w:tc>
        <w:tc>
          <w:tcPr>
            <w:tcW w:w="4819" w:type="dxa"/>
          </w:tcPr>
          <w:p w14:paraId="33CA3F2B" w14:textId="199D8918" w:rsidR="00E6097C" w:rsidRPr="00265738" w:rsidRDefault="00B204DE" w:rsidP="00405087">
            <w:pPr>
              <w:pStyle w:val="a7"/>
              <w:spacing w:after="0" w:line="240" w:lineRule="auto"/>
              <w:ind w:left="0"/>
              <w:jc w:val="both"/>
              <w:rPr>
                <w:rFonts w:ascii="Times New Roman" w:hAnsi="Times New Roman"/>
                <w:sz w:val="24"/>
                <w:szCs w:val="24"/>
              </w:rPr>
            </w:pPr>
            <w:r w:rsidRPr="00B204DE">
              <w:rPr>
                <w:rFonts w:ascii="Times New Roman" w:hAnsi="Times New Roman"/>
                <w:sz w:val="24"/>
                <w:szCs w:val="24"/>
              </w:rPr>
              <w:t>В связи с отсутствием правового регулирования в пункте 11.2 Положения в отношении счетов депо доверительного управляющего и номинального держателя.</w:t>
            </w:r>
          </w:p>
        </w:tc>
      </w:tr>
      <w:tr w:rsidR="00CB6B10" w:rsidRPr="00A15536" w14:paraId="533AA84D" w14:textId="77777777" w:rsidTr="008E1A55">
        <w:trPr>
          <w:trHeight w:val="1725"/>
        </w:trPr>
        <w:tc>
          <w:tcPr>
            <w:tcW w:w="973" w:type="dxa"/>
          </w:tcPr>
          <w:p w14:paraId="41ECB310" w14:textId="4D1D9C72" w:rsidR="00CB6B10" w:rsidRDefault="00786F61" w:rsidP="003846B0">
            <w:pPr>
              <w:spacing w:after="0" w:line="240" w:lineRule="auto"/>
              <w:jc w:val="both"/>
              <w:rPr>
                <w:rFonts w:ascii="Times New Roman" w:hAnsi="Times New Roman"/>
                <w:sz w:val="24"/>
                <w:szCs w:val="24"/>
              </w:rPr>
            </w:pPr>
            <w:r>
              <w:rPr>
                <w:rFonts w:ascii="Times New Roman" w:hAnsi="Times New Roman"/>
                <w:sz w:val="24"/>
                <w:szCs w:val="24"/>
              </w:rPr>
              <w:lastRenderedPageBreak/>
              <w:t>10</w:t>
            </w:r>
            <w:bookmarkStart w:id="0" w:name="_GoBack"/>
            <w:bookmarkEnd w:id="0"/>
            <w:r w:rsidR="00CB6B10">
              <w:rPr>
                <w:rFonts w:ascii="Times New Roman" w:hAnsi="Times New Roman"/>
                <w:sz w:val="24"/>
                <w:szCs w:val="24"/>
              </w:rPr>
              <w:t>.</w:t>
            </w:r>
          </w:p>
        </w:tc>
        <w:tc>
          <w:tcPr>
            <w:tcW w:w="2991" w:type="dxa"/>
          </w:tcPr>
          <w:p w14:paraId="309E3233" w14:textId="2E8CC5C5" w:rsidR="00CB6B10" w:rsidRPr="0008350F" w:rsidRDefault="004B2E3B" w:rsidP="003846B0">
            <w:pPr>
              <w:spacing w:after="0" w:line="240" w:lineRule="auto"/>
              <w:jc w:val="both"/>
              <w:rPr>
                <w:rFonts w:ascii="Times New Roman" w:hAnsi="Times New Roman"/>
                <w:sz w:val="24"/>
                <w:szCs w:val="24"/>
              </w:rPr>
            </w:pPr>
            <w:r w:rsidRPr="0008350F">
              <w:rPr>
                <w:rFonts w:ascii="Times New Roman" w:hAnsi="Times New Roman"/>
                <w:sz w:val="24"/>
                <w:szCs w:val="24"/>
              </w:rPr>
              <w:t xml:space="preserve">Пункт </w:t>
            </w:r>
            <w:r w:rsidR="00B65A26">
              <w:rPr>
                <w:rFonts w:ascii="Times New Roman" w:hAnsi="Times New Roman"/>
                <w:sz w:val="24"/>
                <w:szCs w:val="24"/>
                <w:lang w:val="en-US"/>
              </w:rPr>
              <w:t>1</w:t>
            </w:r>
            <w:r w:rsidR="00F45590">
              <w:rPr>
                <w:rFonts w:ascii="Times New Roman" w:hAnsi="Times New Roman"/>
                <w:sz w:val="24"/>
                <w:szCs w:val="24"/>
              </w:rPr>
              <w:t>.</w:t>
            </w:r>
            <w:r w:rsidRPr="0008350F">
              <w:rPr>
                <w:rFonts w:ascii="Times New Roman" w:hAnsi="Times New Roman"/>
                <w:sz w:val="24"/>
                <w:szCs w:val="24"/>
              </w:rPr>
              <w:t>2</w:t>
            </w:r>
            <w:r w:rsidR="00B65A26">
              <w:rPr>
                <w:rFonts w:ascii="Times New Roman" w:hAnsi="Times New Roman"/>
                <w:sz w:val="24"/>
                <w:szCs w:val="24"/>
                <w:lang w:val="en-US"/>
              </w:rPr>
              <w:t>7</w:t>
            </w:r>
            <w:r w:rsidRPr="0008350F">
              <w:rPr>
                <w:rFonts w:ascii="Times New Roman" w:hAnsi="Times New Roman"/>
                <w:sz w:val="24"/>
                <w:szCs w:val="24"/>
              </w:rPr>
              <w:t xml:space="preserve"> проекта Указания</w:t>
            </w:r>
          </w:p>
        </w:tc>
        <w:tc>
          <w:tcPr>
            <w:tcW w:w="5954" w:type="dxa"/>
          </w:tcPr>
          <w:p w14:paraId="3B23D2BD" w14:textId="5E2D28A2" w:rsidR="00156AF1" w:rsidRPr="00156AF1" w:rsidRDefault="00156AF1" w:rsidP="003846B0">
            <w:pPr>
              <w:pStyle w:val="a7"/>
              <w:spacing w:after="0" w:line="240" w:lineRule="auto"/>
              <w:ind w:left="0"/>
              <w:jc w:val="both"/>
              <w:rPr>
                <w:rFonts w:ascii="Times New Roman" w:hAnsi="Times New Roman"/>
                <w:b/>
                <w:bCs/>
                <w:sz w:val="24"/>
                <w:szCs w:val="24"/>
              </w:rPr>
            </w:pPr>
            <w:r w:rsidRPr="00156AF1">
              <w:rPr>
                <w:rFonts w:ascii="Times New Roman" w:hAnsi="Times New Roman"/>
                <w:b/>
                <w:bCs/>
                <w:sz w:val="24"/>
                <w:szCs w:val="24"/>
              </w:rPr>
              <w:t>П</w:t>
            </w:r>
            <w:r w:rsidR="00F45590" w:rsidRPr="00156AF1">
              <w:rPr>
                <w:rFonts w:ascii="Times New Roman" w:hAnsi="Times New Roman"/>
                <w:b/>
                <w:bCs/>
                <w:sz w:val="24"/>
                <w:szCs w:val="24"/>
              </w:rPr>
              <w:t>редл</w:t>
            </w:r>
            <w:r w:rsidRPr="00156AF1">
              <w:rPr>
                <w:rFonts w:ascii="Times New Roman" w:hAnsi="Times New Roman"/>
                <w:b/>
                <w:bCs/>
                <w:sz w:val="24"/>
                <w:szCs w:val="24"/>
              </w:rPr>
              <w:t>ожени</w:t>
            </w:r>
            <w:r w:rsidR="00C3488E">
              <w:rPr>
                <w:rFonts w:ascii="Times New Roman" w:hAnsi="Times New Roman"/>
                <w:b/>
                <w:bCs/>
                <w:sz w:val="24"/>
                <w:szCs w:val="24"/>
              </w:rPr>
              <w:t>я</w:t>
            </w:r>
            <w:r w:rsidRPr="00156AF1">
              <w:rPr>
                <w:rFonts w:ascii="Times New Roman" w:hAnsi="Times New Roman"/>
                <w:b/>
                <w:bCs/>
                <w:sz w:val="24"/>
                <w:szCs w:val="24"/>
              </w:rPr>
              <w:t xml:space="preserve">. </w:t>
            </w:r>
          </w:p>
          <w:p w14:paraId="069822EB" w14:textId="4E936AD1" w:rsidR="00F45590" w:rsidRPr="00156AF1" w:rsidRDefault="00BD45E4" w:rsidP="003846B0">
            <w:pPr>
              <w:pStyle w:val="a7"/>
              <w:numPr>
                <w:ilvl w:val="0"/>
                <w:numId w:val="5"/>
              </w:numPr>
              <w:spacing w:after="0" w:line="240" w:lineRule="auto"/>
              <w:ind w:left="0"/>
              <w:jc w:val="both"/>
              <w:rPr>
                <w:rFonts w:ascii="Times New Roman" w:hAnsi="Times New Roman"/>
                <w:sz w:val="24"/>
                <w:szCs w:val="24"/>
              </w:rPr>
            </w:pPr>
            <w:r w:rsidRPr="00BD45E4">
              <w:rPr>
                <w:rFonts w:ascii="Times New Roman" w:hAnsi="Times New Roman"/>
                <w:b/>
                <w:bCs/>
                <w:sz w:val="24"/>
                <w:szCs w:val="24"/>
              </w:rPr>
              <w:t>1.</w:t>
            </w:r>
            <w:r>
              <w:rPr>
                <w:rFonts w:ascii="Times New Roman" w:hAnsi="Times New Roman"/>
                <w:sz w:val="24"/>
                <w:szCs w:val="24"/>
              </w:rPr>
              <w:t xml:space="preserve"> </w:t>
            </w:r>
            <w:r w:rsidR="00492CF8">
              <w:rPr>
                <w:rFonts w:ascii="Times New Roman" w:hAnsi="Times New Roman"/>
                <w:sz w:val="24"/>
                <w:szCs w:val="24"/>
              </w:rPr>
              <w:t>Предлагаем ф</w:t>
            </w:r>
            <w:r w:rsidR="00F45590" w:rsidRPr="00156AF1">
              <w:rPr>
                <w:rFonts w:ascii="Times New Roman" w:hAnsi="Times New Roman"/>
                <w:sz w:val="24"/>
                <w:szCs w:val="24"/>
              </w:rPr>
              <w:t>ормулиров</w:t>
            </w:r>
            <w:r w:rsidR="00597749">
              <w:rPr>
                <w:rFonts w:ascii="Times New Roman" w:hAnsi="Times New Roman"/>
                <w:sz w:val="24"/>
                <w:szCs w:val="24"/>
              </w:rPr>
              <w:t>к</w:t>
            </w:r>
            <w:r w:rsidR="00492CF8">
              <w:rPr>
                <w:rFonts w:ascii="Times New Roman" w:hAnsi="Times New Roman"/>
                <w:sz w:val="24"/>
                <w:szCs w:val="24"/>
              </w:rPr>
              <w:t>у</w:t>
            </w:r>
            <w:r w:rsidR="00156AF1" w:rsidRPr="00156AF1">
              <w:rPr>
                <w:rFonts w:ascii="Times New Roman" w:hAnsi="Times New Roman"/>
                <w:sz w:val="24"/>
                <w:szCs w:val="24"/>
              </w:rPr>
              <w:t xml:space="preserve"> </w:t>
            </w:r>
            <w:r w:rsidR="00F45590" w:rsidRPr="00156AF1">
              <w:rPr>
                <w:rFonts w:ascii="Times New Roman" w:hAnsi="Times New Roman"/>
                <w:sz w:val="24"/>
                <w:szCs w:val="24"/>
              </w:rPr>
              <w:t>п</w:t>
            </w:r>
            <w:r w:rsidR="00C476CE">
              <w:rPr>
                <w:rFonts w:ascii="Times New Roman" w:hAnsi="Times New Roman"/>
                <w:sz w:val="24"/>
                <w:szCs w:val="24"/>
              </w:rPr>
              <w:t xml:space="preserve">ункта </w:t>
            </w:r>
            <w:r w:rsidR="00F45590" w:rsidRPr="00156AF1">
              <w:rPr>
                <w:rFonts w:ascii="Times New Roman" w:hAnsi="Times New Roman"/>
                <w:sz w:val="24"/>
                <w:szCs w:val="24"/>
              </w:rPr>
              <w:t xml:space="preserve">12.1: </w:t>
            </w:r>
          </w:p>
          <w:p w14:paraId="382F6746" w14:textId="501A32C0" w:rsidR="00CB6B10" w:rsidRDefault="00F45590" w:rsidP="003846B0">
            <w:pPr>
              <w:pStyle w:val="a7"/>
              <w:spacing w:after="0" w:line="240" w:lineRule="auto"/>
              <w:ind w:left="0"/>
              <w:jc w:val="both"/>
              <w:rPr>
                <w:rFonts w:ascii="Times New Roman" w:hAnsi="Times New Roman"/>
                <w:sz w:val="24"/>
                <w:szCs w:val="24"/>
              </w:rPr>
            </w:pPr>
            <w:r w:rsidRPr="00F45590">
              <w:rPr>
                <w:rFonts w:ascii="Times New Roman" w:hAnsi="Times New Roman"/>
                <w:sz w:val="24"/>
                <w:szCs w:val="24"/>
              </w:rPr>
              <w:t>«Депозитарий должен предоставить депоненту отчет о проведенной операции (операциях) по открытому указанному депоненту счету депо номинального держателя не позднее окончания операционного дня совершения указанной операции (операций), а отчет о проведенной операции (операциях) по иному счету депо – не позднее рабочего дня, следующего за днем совершения указанной операции».</w:t>
            </w:r>
          </w:p>
          <w:p w14:paraId="1819DE1F" w14:textId="28288523" w:rsidR="00EC3E71" w:rsidRPr="00EC3E71" w:rsidRDefault="00EC3E71" w:rsidP="003846B0">
            <w:pPr>
              <w:pStyle w:val="a7"/>
              <w:spacing w:after="0" w:line="240" w:lineRule="auto"/>
              <w:ind w:left="0"/>
              <w:jc w:val="both"/>
              <w:rPr>
                <w:rFonts w:ascii="Times New Roman" w:hAnsi="Times New Roman"/>
                <w:b/>
                <w:bCs/>
                <w:sz w:val="24"/>
                <w:szCs w:val="24"/>
              </w:rPr>
            </w:pPr>
            <w:r w:rsidRPr="00EC3E71">
              <w:rPr>
                <w:rFonts w:ascii="Times New Roman" w:hAnsi="Times New Roman"/>
                <w:b/>
                <w:bCs/>
                <w:sz w:val="24"/>
                <w:szCs w:val="24"/>
              </w:rPr>
              <w:t>Вариант предложения</w:t>
            </w:r>
          </w:p>
          <w:p w14:paraId="08A2E989" w14:textId="4A2A0215" w:rsidR="00642A2D" w:rsidRPr="00642A2D" w:rsidRDefault="00EC3E71" w:rsidP="003846B0">
            <w:pPr>
              <w:pStyle w:val="a7"/>
              <w:numPr>
                <w:ilvl w:val="0"/>
                <w:numId w:val="5"/>
              </w:numPr>
              <w:spacing w:after="0" w:line="240" w:lineRule="auto"/>
              <w:ind w:left="0"/>
              <w:jc w:val="both"/>
              <w:rPr>
                <w:rFonts w:ascii="Times New Roman" w:hAnsi="Times New Roman"/>
                <w:sz w:val="24"/>
                <w:szCs w:val="24"/>
              </w:rPr>
            </w:pPr>
            <w:r w:rsidRPr="00EC3E71">
              <w:rPr>
                <w:rFonts w:ascii="Times New Roman" w:hAnsi="Times New Roman"/>
                <w:b/>
                <w:bCs/>
                <w:sz w:val="24"/>
                <w:szCs w:val="24"/>
              </w:rPr>
              <w:t>2</w:t>
            </w:r>
            <w:r w:rsidR="004E388B">
              <w:rPr>
                <w:rFonts w:ascii="Times New Roman" w:hAnsi="Times New Roman"/>
                <w:sz w:val="24"/>
                <w:szCs w:val="24"/>
              </w:rPr>
              <w:t xml:space="preserve">. </w:t>
            </w:r>
            <w:r w:rsidR="00642A2D">
              <w:rPr>
                <w:rFonts w:ascii="Times New Roman" w:hAnsi="Times New Roman"/>
                <w:sz w:val="24"/>
                <w:szCs w:val="24"/>
              </w:rPr>
              <w:t>П</w:t>
            </w:r>
            <w:r w:rsidR="00642A2D" w:rsidRPr="00642A2D">
              <w:rPr>
                <w:rFonts w:ascii="Times New Roman" w:hAnsi="Times New Roman"/>
                <w:sz w:val="24"/>
                <w:szCs w:val="24"/>
              </w:rPr>
              <w:t>редлагае</w:t>
            </w:r>
            <w:r w:rsidR="00642A2D">
              <w:rPr>
                <w:rFonts w:ascii="Times New Roman" w:hAnsi="Times New Roman"/>
                <w:sz w:val="24"/>
                <w:szCs w:val="24"/>
              </w:rPr>
              <w:t>м</w:t>
            </w:r>
            <w:r w:rsidR="00642A2D" w:rsidRPr="00642A2D">
              <w:rPr>
                <w:rFonts w:ascii="Times New Roman" w:hAnsi="Times New Roman"/>
                <w:sz w:val="24"/>
                <w:szCs w:val="24"/>
              </w:rPr>
              <w:t xml:space="preserve"> не вносить изменения в пункт 12.1. Порядка 503-П согласно Проекту, т.к. данные изменения не исключают возможность возникновения расхождений на конец операционного дня одной календарной даты количества ценных бумаг, учитываемых депозитариями на счетах депо депонентов, и счете неустановленных лиц и количества таких же ценных бумаг, учитываемых на счетах депозитария, открытых этому депозитарию. Как следствие, данные изменения могут повлечь за собой:</w:t>
            </w:r>
          </w:p>
          <w:p w14:paraId="20CC517D" w14:textId="77777777" w:rsidR="00F93129" w:rsidRDefault="00F93129" w:rsidP="003846B0">
            <w:pPr>
              <w:pStyle w:val="a7"/>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42A2D" w:rsidRPr="00642A2D">
              <w:rPr>
                <w:rFonts w:ascii="Times New Roman" w:hAnsi="Times New Roman"/>
                <w:sz w:val="24"/>
                <w:szCs w:val="24"/>
              </w:rPr>
              <w:t xml:space="preserve">сокращение продолжительности операционного дня депозитария с целью исключения проведения операций по счету номинального держателя в рабочий день, следующий за календарной датой, за которую в этот операционный день совершаются операции по счетам депо номинального держателя; </w:t>
            </w:r>
          </w:p>
          <w:p w14:paraId="7BBA8D81" w14:textId="289C1453" w:rsidR="009E5A25" w:rsidRPr="0008350F" w:rsidRDefault="00F93129" w:rsidP="003846B0">
            <w:pPr>
              <w:pStyle w:val="a7"/>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42A2D" w:rsidRPr="00642A2D">
              <w:rPr>
                <w:rFonts w:ascii="Times New Roman" w:hAnsi="Times New Roman"/>
                <w:sz w:val="24"/>
                <w:szCs w:val="24"/>
              </w:rPr>
              <w:t>учащение случаев отражения операций рабочим днем, следующим за днем получения депозитарием документа, подтверждающего проведение операции по счету депозитария.</w:t>
            </w:r>
          </w:p>
        </w:tc>
        <w:tc>
          <w:tcPr>
            <w:tcW w:w="4819" w:type="dxa"/>
          </w:tcPr>
          <w:p w14:paraId="24F1DE79" w14:textId="46C9577B" w:rsidR="00CB6B10" w:rsidRPr="00183E76" w:rsidRDefault="00156AF1" w:rsidP="003846B0">
            <w:pPr>
              <w:pStyle w:val="a7"/>
              <w:numPr>
                <w:ilvl w:val="0"/>
                <w:numId w:val="1"/>
              </w:numPr>
              <w:spacing w:after="0" w:line="240" w:lineRule="auto"/>
              <w:ind w:left="0" w:firstLine="0"/>
              <w:jc w:val="both"/>
              <w:rPr>
                <w:rFonts w:ascii="Times New Roman" w:hAnsi="Times New Roman"/>
                <w:sz w:val="24"/>
                <w:szCs w:val="24"/>
              </w:rPr>
            </w:pPr>
            <w:r w:rsidRPr="00183E76">
              <w:rPr>
                <w:rFonts w:ascii="Times New Roman" w:hAnsi="Times New Roman"/>
                <w:sz w:val="24"/>
                <w:szCs w:val="24"/>
              </w:rPr>
              <w:t xml:space="preserve">Пункт 1.27 </w:t>
            </w:r>
            <w:r w:rsidR="00FD19CB" w:rsidRPr="00183E76">
              <w:rPr>
                <w:rFonts w:ascii="Times New Roman" w:hAnsi="Times New Roman"/>
                <w:sz w:val="24"/>
                <w:szCs w:val="24"/>
              </w:rPr>
              <w:t>п</w:t>
            </w:r>
            <w:r w:rsidRPr="00183E76">
              <w:rPr>
                <w:rFonts w:ascii="Times New Roman" w:hAnsi="Times New Roman"/>
                <w:sz w:val="24"/>
                <w:szCs w:val="24"/>
              </w:rPr>
              <w:t>роекта</w:t>
            </w:r>
            <w:r w:rsidR="00FD19CB" w:rsidRPr="00183E76">
              <w:rPr>
                <w:rFonts w:ascii="Times New Roman" w:hAnsi="Times New Roman"/>
                <w:sz w:val="24"/>
                <w:szCs w:val="24"/>
              </w:rPr>
              <w:t xml:space="preserve"> Указания</w:t>
            </w:r>
            <w:r w:rsidRPr="00183E76">
              <w:rPr>
                <w:rFonts w:ascii="Times New Roman" w:hAnsi="Times New Roman"/>
                <w:sz w:val="24"/>
                <w:szCs w:val="24"/>
              </w:rPr>
              <w:t xml:space="preserve"> предлагает новую редакцию п</w:t>
            </w:r>
            <w:r w:rsidR="00FD19CB" w:rsidRPr="00183E76">
              <w:rPr>
                <w:rFonts w:ascii="Times New Roman" w:hAnsi="Times New Roman"/>
                <w:sz w:val="24"/>
                <w:szCs w:val="24"/>
              </w:rPr>
              <w:t>ункта</w:t>
            </w:r>
            <w:r w:rsidRPr="00183E76">
              <w:rPr>
                <w:rFonts w:ascii="Times New Roman" w:hAnsi="Times New Roman"/>
                <w:sz w:val="24"/>
                <w:szCs w:val="24"/>
              </w:rPr>
              <w:t xml:space="preserve"> 12.1 Положения Банка России от 13.11.2015 № 503-П «О порядке открытия и ведения депозитариями счетов депо и иных счетов». Изменение связано с тем, что депозитарий обязывают предоставить депоненту - номинальному держателю отчет о проведенной операции по открытому указанному депоненту счету депо номинального держателя в календарный день совершения указанной операции. Данное условие может оказаться невыполнимым и вступать в противоречие с требованиями Указания Банка России от 14.03.2016 № 3980-У по причине разницы в длительности операционного/рабочего дня в различных депозитариях, а также потенциальной разницы в часовых поясах, в которых находятся депозитарий-место расчетов и российский депозитарий, у которого есть депоненты-номинальные держатели. Например, если операция была проведена в конце рабочего дня в иностранном расчетном депозитарии, который успел ее отразить днем Т и в этот же календарный день отправить отчет о проведенной операции депоненту – российскому депозитарию, то последний зачастую получает этот отчет в автоматическом режиме уже после окончания рабочего дня и фактически </w:t>
            </w:r>
            <w:r w:rsidRPr="00183E76">
              <w:rPr>
                <w:rFonts w:ascii="Times New Roman" w:hAnsi="Times New Roman"/>
                <w:sz w:val="24"/>
                <w:szCs w:val="24"/>
              </w:rPr>
              <w:lastRenderedPageBreak/>
              <w:t>обрабатывает его в календарную дату Т+1. В соответствии с порядком закрытия операционного дня депозитария и согласно Указанию для обеспечения корректной сверки с вышестоящим депозитарием за операционный день Т, российский депозитарий физически отражает данную операцию по счетам депо своих депонентов утром календарной даты Т+1, но в операционном дне Т. В этом случае российский депозитарий не может предоставить отчет своему депоненту - номинальному держателю по данной операции в календарный день T (день свершения операции) с учетом содержания проекта Указания.</w:t>
            </w:r>
          </w:p>
          <w:p w14:paraId="3ED3824D" w14:textId="489EAFA7" w:rsidR="00143D53" w:rsidRPr="00183E76" w:rsidRDefault="00143D53" w:rsidP="003846B0">
            <w:pPr>
              <w:pStyle w:val="a7"/>
              <w:spacing w:after="0" w:line="240" w:lineRule="auto"/>
              <w:ind w:left="0"/>
              <w:jc w:val="both"/>
              <w:rPr>
                <w:rFonts w:ascii="Times New Roman" w:hAnsi="Times New Roman"/>
                <w:sz w:val="24"/>
                <w:szCs w:val="24"/>
              </w:rPr>
            </w:pPr>
          </w:p>
        </w:tc>
      </w:tr>
    </w:tbl>
    <w:p w14:paraId="0C577422" w14:textId="77777777" w:rsidR="001510F5" w:rsidRPr="00A15536" w:rsidRDefault="001510F5" w:rsidP="003846B0">
      <w:pPr>
        <w:spacing w:after="0"/>
        <w:rPr>
          <w:rFonts w:ascii="Times New Roman" w:hAnsi="Times New Roman"/>
          <w:sz w:val="24"/>
          <w:szCs w:val="24"/>
        </w:rPr>
      </w:pPr>
    </w:p>
    <w:sectPr w:rsidR="001510F5" w:rsidRPr="00A15536" w:rsidSect="00BF4920">
      <w:footerReference w:type="even" r:id="rId7"/>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B2D81" w14:textId="77777777" w:rsidR="00C31AA6" w:rsidRDefault="00C31AA6">
      <w:r>
        <w:separator/>
      </w:r>
    </w:p>
  </w:endnote>
  <w:endnote w:type="continuationSeparator" w:id="0">
    <w:p w14:paraId="411E6511" w14:textId="77777777" w:rsidR="00C31AA6" w:rsidRDefault="00C3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F2201" w14:textId="77777777" w:rsidR="001A4343" w:rsidRDefault="001A4343" w:rsidP="005610C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A988AD5" w14:textId="77777777" w:rsidR="001A4343" w:rsidRDefault="001A4343" w:rsidP="0005223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A36BF" w14:textId="77777777" w:rsidR="001A4343" w:rsidRDefault="001A4343" w:rsidP="005610C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06F2F237" w14:textId="77777777" w:rsidR="001A4343" w:rsidRDefault="001A4343" w:rsidP="0005223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CC5E0" w14:textId="77777777" w:rsidR="00C31AA6" w:rsidRDefault="00C31AA6">
      <w:r>
        <w:separator/>
      </w:r>
    </w:p>
  </w:footnote>
  <w:footnote w:type="continuationSeparator" w:id="0">
    <w:p w14:paraId="3C2AE51C" w14:textId="77777777" w:rsidR="00C31AA6" w:rsidRDefault="00C31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A19A1"/>
    <w:multiLevelType w:val="hybridMultilevel"/>
    <w:tmpl w:val="924E3424"/>
    <w:lvl w:ilvl="0" w:tplc="A62206CA">
      <w:start w:val="1"/>
      <w:numFmt w:val="decimal"/>
      <w:lvlText w:val="%1."/>
      <w:lvlJc w:val="left"/>
      <w:pPr>
        <w:ind w:left="502" w:hanging="360"/>
      </w:pPr>
      <w:rPr>
        <w:rFonts w:hint="default"/>
        <w:b/>
        <w:bCs/>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12E93B46"/>
    <w:multiLevelType w:val="hybridMultilevel"/>
    <w:tmpl w:val="CBD428F2"/>
    <w:lvl w:ilvl="0" w:tplc="43F8F7B2">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853DCF"/>
    <w:multiLevelType w:val="hybridMultilevel"/>
    <w:tmpl w:val="CCFA20B4"/>
    <w:lvl w:ilvl="0" w:tplc="1F54255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9C5E24"/>
    <w:multiLevelType w:val="hybridMultilevel"/>
    <w:tmpl w:val="50FAF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BD2E82"/>
    <w:multiLevelType w:val="hybridMultilevel"/>
    <w:tmpl w:val="21EA82A8"/>
    <w:lvl w:ilvl="0" w:tplc="DF823E80">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EB4054"/>
    <w:multiLevelType w:val="hybridMultilevel"/>
    <w:tmpl w:val="5F440EDC"/>
    <w:lvl w:ilvl="0" w:tplc="8B7A5C22">
      <w:start w:val="1"/>
      <w:numFmt w:val="decimal"/>
      <w:lvlText w:val="%1."/>
      <w:lvlJc w:val="left"/>
      <w:pPr>
        <w:ind w:left="36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1348FB"/>
    <w:multiLevelType w:val="hybridMultilevel"/>
    <w:tmpl w:val="E84EB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1A58CB"/>
    <w:multiLevelType w:val="hybridMultilevel"/>
    <w:tmpl w:val="CBD428F2"/>
    <w:lvl w:ilvl="0" w:tplc="43F8F7B2">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2D72E5"/>
    <w:multiLevelType w:val="hybridMultilevel"/>
    <w:tmpl w:val="473079FA"/>
    <w:lvl w:ilvl="0" w:tplc="EAA0C03C">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8F7F14"/>
    <w:multiLevelType w:val="hybridMultilevel"/>
    <w:tmpl w:val="DC36B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8"/>
  </w:num>
  <w:num w:numId="8">
    <w:abstractNumId w:val="7"/>
  </w:num>
  <w:num w:numId="9">
    <w:abstractNumId w:val="3"/>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20"/>
    <w:rsid w:val="00000704"/>
    <w:rsid w:val="00001F99"/>
    <w:rsid w:val="00002D5C"/>
    <w:rsid w:val="00002DBB"/>
    <w:rsid w:val="000051E1"/>
    <w:rsid w:val="00010824"/>
    <w:rsid w:val="0001141F"/>
    <w:rsid w:val="00011C7C"/>
    <w:rsid w:val="00011FE1"/>
    <w:rsid w:val="00012EF3"/>
    <w:rsid w:val="000156D1"/>
    <w:rsid w:val="00023CE3"/>
    <w:rsid w:val="000250F7"/>
    <w:rsid w:val="0002565E"/>
    <w:rsid w:val="00026659"/>
    <w:rsid w:val="00026796"/>
    <w:rsid w:val="0002736D"/>
    <w:rsid w:val="0003018F"/>
    <w:rsid w:val="000301FB"/>
    <w:rsid w:val="00030F47"/>
    <w:rsid w:val="00031CA0"/>
    <w:rsid w:val="00034D19"/>
    <w:rsid w:val="00036081"/>
    <w:rsid w:val="00042842"/>
    <w:rsid w:val="000429A8"/>
    <w:rsid w:val="00042C9C"/>
    <w:rsid w:val="00042E19"/>
    <w:rsid w:val="0004415D"/>
    <w:rsid w:val="0004624D"/>
    <w:rsid w:val="00047B9A"/>
    <w:rsid w:val="00047DDA"/>
    <w:rsid w:val="000500D9"/>
    <w:rsid w:val="00050E14"/>
    <w:rsid w:val="00051771"/>
    <w:rsid w:val="0005218B"/>
    <w:rsid w:val="00052235"/>
    <w:rsid w:val="00053B26"/>
    <w:rsid w:val="00053EC0"/>
    <w:rsid w:val="00054C01"/>
    <w:rsid w:val="000561C1"/>
    <w:rsid w:val="00056657"/>
    <w:rsid w:val="00060C4A"/>
    <w:rsid w:val="00060E52"/>
    <w:rsid w:val="000619C9"/>
    <w:rsid w:val="00062E89"/>
    <w:rsid w:val="000709CF"/>
    <w:rsid w:val="000710D4"/>
    <w:rsid w:val="000736A1"/>
    <w:rsid w:val="00073DD3"/>
    <w:rsid w:val="00076EC8"/>
    <w:rsid w:val="00081FEA"/>
    <w:rsid w:val="00082C00"/>
    <w:rsid w:val="00082D37"/>
    <w:rsid w:val="0008350F"/>
    <w:rsid w:val="0008773C"/>
    <w:rsid w:val="00087797"/>
    <w:rsid w:val="00092A3A"/>
    <w:rsid w:val="000936C1"/>
    <w:rsid w:val="000956ED"/>
    <w:rsid w:val="00097714"/>
    <w:rsid w:val="00097773"/>
    <w:rsid w:val="000A009B"/>
    <w:rsid w:val="000A0D97"/>
    <w:rsid w:val="000A1D2F"/>
    <w:rsid w:val="000A3068"/>
    <w:rsid w:val="000A4283"/>
    <w:rsid w:val="000A4EBB"/>
    <w:rsid w:val="000A6A33"/>
    <w:rsid w:val="000A7E0B"/>
    <w:rsid w:val="000B21ED"/>
    <w:rsid w:val="000B3B77"/>
    <w:rsid w:val="000B4507"/>
    <w:rsid w:val="000B5BC9"/>
    <w:rsid w:val="000B7E1B"/>
    <w:rsid w:val="000C2F9B"/>
    <w:rsid w:val="000C3E51"/>
    <w:rsid w:val="000C4201"/>
    <w:rsid w:val="000C6546"/>
    <w:rsid w:val="000D07E2"/>
    <w:rsid w:val="000D103C"/>
    <w:rsid w:val="000D12A3"/>
    <w:rsid w:val="000D4B5E"/>
    <w:rsid w:val="000D5EAA"/>
    <w:rsid w:val="000D65E4"/>
    <w:rsid w:val="000D73A1"/>
    <w:rsid w:val="000E033A"/>
    <w:rsid w:val="000E338C"/>
    <w:rsid w:val="000E4C95"/>
    <w:rsid w:val="000E59D7"/>
    <w:rsid w:val="000E6E23"/>
    <w:rsid w:val="000E76F3"/>
    <w:rsid w:val="000E7A38"/>
    <w:rsid w:val="000E7C23"/>
    <w:rsid w:val="000F0952"/>
    <w:rsid w:val="000F1721"/>
    <w:rsid w:val="000F17AA"/>
    <w:rsid w:val="000F35A7"/>
    <w:rsid w:val="000F49D2"/>
    <w:rsid w:val="000F4E0B"/>
    <w:rsid w:val="000F6DFF"/>
    <w:rsid w:val="00101DD8"/>
    <w:rsid w:val="00102698"/>
    <w:rsid w:val="00102B49"/>
    <w:rsid w:val="00102F72"/>
    <w:rsid w:val="00103A9D"/>
    <w:rsid w:val="00103E7B"/>
    <w:rsid w:val="001109D7"/>
    <w:rsid w:val="001120FD"/>
    <w:rsid w:val="001135BB"/>
    <w:rsid w:val="0012026B"/>
    <w:rsid w:val="00120914"/>
    <w:rsid w:val="00124B33"/>
    <w:rsid w:val="001251C6"/>
    <w:rsid w:val="0012746D"/>
    <w:rsid w:val="00127DAA"/>
    <w:rsid w:val="001339BB"/>
    <w:rsid w:val="00142526"/>
    <w:rsid w:val="00143D53"/>
    <w:rsid w:val="00144346"/>
    <w:rsid w:val="001445C3"/>
    <w:rsid w:val="00144DF3"/>
    <w:rsid w:val="001453D0"/>
    <w:rsid w:val="00145ACE"/>
    <w:rsid w:val="00150AD4"/>
    <w:rsid w:val="001510F5"/>
    <w:rsid w:val="0015150C"/>
    <w:rsid w:val="0015226C"/>
    <w:rsid w:val="00153EBD"/>
    <w:rsid w:val="001559FC"/>
    <w:rsid w:val="00156077"/>
    <w:rsid w:val="00156AF1"/>
    <w:rsid w:val="001576EE"/>
    <w:rsid w:val="00157C02"/>
    <w:rsid w:val="00162EBC"/>
    <w:rsid w:val="00163992"/>
    <w:rsid w:val="0016448E"/>
    <w:rsid w:val="00164A4B"/>
    <w:rsid w:val="00164BD1"/>
    <w:rsid w:val="00164DF7"/>
    <w:rsid w:val="00166C9B"/>
    <w:rsid w:val="00166D94"/>
    <w:rsid w:val="00167FBF"/>
    <w:rsid w:val="001729FB"/>
    <w:rsid w:val="00174FF7"/>
    <w:rsid w:val="00175650"/>
    <w:rsid w:val="00176BB1"/>
    <w:rsid w:val="001772E5"/>
    <w:rsid w:val="001779B3"/>
    <w:rsid w:val="00177D4E"/>
    <w:rsid w:val="00181988"/>
    <w:rsid w:val="00181D28"/>
    <w:rsid w:val="001820BA"/>
    <w:rsid w:val="001828CB"/>
    <w:rsid w:val="00182E2B"/>
    <w:rsid w:val="0018395A"/>
    <w:rsid w:val="00183E76"/>
    <w:rsid w:val="00184EE4"/>
    <w:rsid w:val="00185883"/>
    <w:rsid w:val="001858B0"/>
    <w:rsid w:val="00185D9E"/>
    <w:rsid w:val="00190481"/>
    <w:rsid w:val="001906A1"/>
    <w:rsid w:val="00190BFB"/>
    <w:rsid w:val="00190CDE"/>
    <w:rsid w:val="00190F4A"/>
    <w:rsid w:val="00191A13"/>
    <w:rsid w:val="001920C4"/>
    <w:rsid w:val="001921F5"/>
    <w:rsid w:val="00193294"/>
    <w:rsid w:val="00195288"/>
    <w:rsid w:val="00196664"/>
    <w:rsid w:val="00197A04"/>
    <w:rsid w:val="001A4140"/>
    <w:rsid w:val="001A4343"/>
    <w:rsid w:val="001A48E7"/>
    <w:rsid w:val="001A7BCF"/>
    <w:rsid w:val="001B00FF"/>
    <w:rsid w:val="001B2D3D"/>
    <w:rsid w:val="001B347B"/>
    <w:rsid w:val="001B5157"/>
    <w:rsid w:val="001B53FD"/>
    <w:rsid w:val="001B71DA"/>
    <w:rsid w:val="001C5AB5"/>
    <w:rsid w:val="001C744C"/>
    <w:rsid w:val="001C79B0"/>
    <w:rsid w:val="001D0324"/>
    <w:rsid w:val="001D26A2"/>
    <w:rsid w:val="001D289B"/>
    <w:rsid w:val="001D3023"/>
    <w:rsid w:val="001D3390"/>
    <w:rsid w:val="001D5C0C"/>
    <w:rsid w:val="001D7052"/>
    <w:rsid w:val="001D7F0F"/>
    <w:rsid w:val="001E0D8A"/>
    <w:rsid w:val="001E11EC"/>
    <w:rsid w:val="001E1B77"/>
    <w:rsid w:val="001E5C17"/>
    <w:rsid w:val="001E6D40"/>
    <w:rsid w:val="001E7F22"/>
    <w:rsid w:val="001F28B0"/>
    <w:rsid w:val="00200BF0"/>
    <w:rsid w:val="0020384F"/>
    <w:rsid w:val="0020390C"/>
    <w:rsid w:val="00204597"/>
    <w:rsid w:val="0020527F"/>
    <w:rsid w:val="00206127"/>
    <w:rsid w:val="002102AA"/>
    <w:rsid w:val="00210A8D"/>
    <w:rsid w:val="002133EF"/>
    <w:rsid w:val="002144AF"/>
    <w:rsid w:val="0021471A"/>
    <w:rsid w:val="00217EF7"/>
    <w:rsid w:val="002200D5"/>
    <w:rsid w:val="002211CF"/>
    <w:rsid w:val="0022155C"/>
    <w:rsid w:val="00222A95"/>
    <w:rsid w:val="002248CB"/>
    <w:rsid w:val="00225DF7"/>
    <w:rsid w:val="00227637"/>
    <w:rsid w:val="002315BB"/>
    <w:rsid w:val="0023272E"/>
    <w:rsid w:val="002328EC"/>
    <w:rsid w:val="00233BB4"/>
    <w:rsid w:val="00234EFF"/>
    <w:rsid w:val="0023773C"/>
    <w:rsid w:val="0024119D"/>
    <w:rsid w:val="00242EFB"/>
    <w:rsid w:val="00244010"/>
    <w:rsid w:val="00250503"/>
    <w:rsid w:val="00250613"/>
    <w:rsid w:val="00251051"/>
    <w:rsid w:val="00252BC7"/>
    <w:rsid w:val="002559F8"/>
    <w:rsid w:val="00256791"/>
    <w:rsid w:val="002600C9"/>
    <w:rsid w:val="002619FC"/>
    <w:rsid w:val="00261A29"/>
    <w:rsid w:val="002626AC"/>
    <w:rsid w:val="00262F31"/>
    <w:rsid w:val="0026471D"/>
    <w:rsid w:val="002648A7"/>
    <w:rsid w:val="00265738"/>
    <w:rsid w:val="00266979"/>
    <w:rsid w:val="00270C82"/>
    <w:rsid w:val="0027169F"/>
    <w:rsid w:val="00272AF7"/>
    <w:rsid w:val="00273C64"/>
    <w:rsid w:val="0027459C"/>
    <w:rsid w:val="002750B3"/>
    <w:rsid w:val="00275575"/>
    <w:rsid w:val="00275EE3"/>
    <w:rsid w:val="00277A13"/>
    <w:rsid w:val="00280A9D"/>
    <w:rsid w:val="0028270A"/>
    <w:rsid w:val="0028334F"/>
    <w:rsid w:val="002853AF"/>
    <w:rsid w:val="002867E7"/>
    <w:rsid w:val="00287123"/>
    <w:rsid w:val="00287283"/>
    <w:rsid w:val="00287AFC"/>
    <w:rsid w:val="00290257"/>
    <w:rsid w:val="002926A1"/>
    <w:rsid w:val="00293D74"/>
    <w:rsid w:val="00294FDA"/>
    <w:rsid w:val="002966E2"/>
    <w:rsid w:val="002A117F"/>
    <w:rsid w:val="002A3025"/>
    <w:rsid w:val="002A5EBA"/>
    <w:rsid w:val="002A662B"/>
    <w:rsid w:val="002A66B9"/>
    <w:rsid w:val="002A76DC"/>
    <w:rsid w:val="002A7EEA"/>
    <w:rsid w:val="002B1315"/>
    <w:rsid w:val="002B1EE3"/>
    <w:rsid w:val="002B372D"/>
    <w:rsid w:val="002B459A"/>
    <w:rsid w:val="002C26D9"/>
    <w:rsid w:val="002C629D"/>
    <w:rsid w:val="002D2BD6"/>
    <w:rsid w:val="002D3E8A"/>
    <w:rsid w:val="002D4073"/>
    <w:rsid w:val="002D6519"/>
    <w:rsid w:val="002D79E6"/>
    <w:rsid w:val="002E2339"/>
    <w:rsid w:val="002E25B3"/>
    <w:rsid w:val="002E4DBB"/>
    <w:rsid w:val="002E5204"/>
    <w:rsid w:val="002E56F0"/>
    <w:rsid w:val="002E5F7C"/>
    <w:rsid w:val="002F1B39"/>
    <w:rsid w:val="002F2067"/>
    <w:rsid w:val="002F2968"/>
    <w:rsid w:val="002F425A"/>
    <w:rsid w:val="002F4339"/>
    <w:rsid w:val="002F460E"/>
    <w:rsid w:val="002F4978"/>
    <w:rsid w:val="002F4F9C"/>
    <w:rsid w:val="002F681B"/>
    <w:rsid w:val="002F69E8"/>
    <w:rsid w:val="002F6FE0"/>
    <w:rsid w:val="002F7739"/>
    <w:rsid w:val="0030186B"/>
    <w:rsid w:val="00301969"/>
    <w:rsid w:val="0030292E"/>
    <w:rsid w:val="00302A57"/>
    <w:rsid w:val="00305FB1"/>
    <w:rsid w:val="00310645"/>
    <w:rsid w:val="00310BFA"/>
    <w:rsid w:val="00312BAA"/>
    <w:rsid w:val="003161D0"/>
    <w:rsid w:val="003202CF"/>
    <w:rsid w:val="00321ADE"/>
    <w:rsid w:val="00323FE3"/>
    <w:rsid w:val="003246C4"/>
    <w:rsid w:val="00327693"/>
    <w:rsid w:val="00330491"/>
    <w:rsid w:val="00330D91"/>
    <w:rsid w:val="00331010"/>
    <w:rsid w:val="00331A8C"/>
    <w:rsid w:val="00331F98"/>
    <w:rsid w:val="00333122"/>
    <w:rsid w:val="003353E8"/>
    <w:rsid w:val="00336E99"/>
    <w:rsid w:val="0033732C"/>
    <w:rsid w:val="00340B80"/>
    <w:rsid w:val="00342C36"/>
    <w:rsid w:val="00343451"/>
    <w:rsid w:val="00345A9B"/>
    <w:rsid w:val="00346AE2"/>
    <w:rsid w:val="00346CC2"/>
    <w:rsid w:val="00350C57"/>
    <w:rsid w:val="00351836"/>
    <w:rsid w:val="00351EB1"/>
    <w:rsid w:val="00353005"/>
    <w:rsid w:val="00353CF0"/>
    <w:rsid w:val="00354E08"/>
    <w:rsid w:val="00360F6F"/>
    <w:rsid w:val="0036198F"/>
    <w:rsid w:val="00361BEC"/>
    <w:rsid w:val="00370204"/>
    <w:rsid w:val="00372EC5"/>
    <w:rsid w:val="003731DA"/>
    <w:rsid w:val="00373A6B"/>
    <w:rsid w:val="00374829"/>
    <w:rsid w:val="00374F3B"/>
    <w:rsid w:val="00376BE2"/>
    <w:rsid w:val="00377CFB"/>
    <w:rsid w:val="00377DBA"/>
    <w:rsid w:val="003804B5"/>
    <w:rsid w:val="00380BD0"/>
    <w:rsid w:val="00382C25"/>
    <w:rsid w:val="00384003"/>
    <w:rsid w:val="003840FA"/>
    <w:rsid w:val="00384176"/>
    <w:rsid w:val="003846B0"/>
    <w:rsid w:val="00387EC8"/>
    <w:rsid w:val="003922E5"/>
    <w:rsid w:val="003929CD"/>
    <w:rsid w:val="00392DEC"/>
    <w:rsid w:val="0039301E"/>
    <w:rsid w:val="003952AA"/>
    <w:rsid w:val="00397328"/>
    <w:rsid w:val="00397771"/>
    <w:rsid w:val="003A15F4"/>
    <w:rsid w:val="003A2ADB"/>
    <w:rsid w:val="003A34D6"/>
    <w:rsid w:val="003A3FEF"/>
    <w:rsid w:val="003A4669"/>
    <w:rsid w:val="003A50B6"/>
    <w:rsid w:val="003A7407"/>
    <w:rsid w:val="003B03DB"/>
    <w:rsid w:val="003B0851"/>
    <w:rsid w:val="003B0DFB"/>
    <w:rsid w:val="003B20B6"/>
    <w:rsid w:val="003B5874"/>
    <w:rsid w:val="003C00F9"/>
    <w:rsid w:val="003C20CD"/>
    <w:rsid w:val="003C283E"/>
    <w:rsid w:val="003C45B0"/>
    <w:rsid w:val="003C5DC5"/>
    <w:rsid w:val="003C5EE3"/>
    <w:rsid w:val="003C60C4"/>
    <w:rsid w:val="003C78CA"/>
    <w:rsid w:val="003C7F75"/>
    <w:rsid w:val="003D11B8"/>
    <w:rsid w:val="003D2151"/>
    <w:rsid w:val="003D3CBE"/>
    <w:rsid w:val="003D4FD1"/>
    <w:rsid w:val="003D5DAA"/>
    <w:rsid w:val="003D661E"/>
    <w:rsid w:val="003D7445"/>
    <w:rsid w:val="003E0B64"/>
    <w:rsid w:val="003E0D0E"/>
    <w:rsid w:val="003E295D"/>
    <w:rsid w:val="003E4ADC"/>
    <w:rsid w:val="003E5EA8"/>
    <w:rsid w:val="003E6EEB"/>
    <w:rsid w:val="003F2E85"/>
    <w:rsid w:val="003F435B"/>
    <w:rsid w:val="003F52AC"/>
    <w:rsid w:val="003F58DE"/>
    <w:rsid w:val="003F61E2"/>
    <w:rsid w:val="004005FA"/>
    <w:rsid w:val="00401A77"/>
    <w:rsid w:val="00402EA5"/>
    <w:rsid w:val="004033FC"/>
    <w:rsid w:val="0040409C"/>
    <w:rsid w:val="004043D6"/>
    <w:rsid w:val="00405087"/>
    <w:rsid w:val="00406940"/>
    <w:rsid w:val="004100A5"/>
    <w:rsid w:val="004105BA"/>
    <w:rsid w:val="00411B03"/>
    <w:rsid w:val="00411BB7"/>
    <w:rsid w:val="004139C7"/>
    <w:rsid w:val="00414463"/>
    <w:rsid w:val="00414E0C"/>
    <w:rsid w:val="004206D7"/>
    <w:rsid w:val="00420AC0"/>
    <w:rsid w:val="00423A98"/>
    <w:rsid w:val="0042497E"/>
    <w:rsid w:val="00426A18"/>
    <w:rsid w:val="00426BB6"/>
    <w:rsid w:val="00427165"/>
    <w:rsid w:val="00427AE0"/>
    <w:rsid w:val="004303CE"/>
    <w:rsid w:val="00430812"/>
    <w:rsid w:val="004314CD"/>
    <w:rsid w:val="004315E3"/>
    <w:rsid w:val="004357A2"/>
    <w:rsid w:val="00435863"/>
    <w:rsid w:val="00436729"/>
    <w:rsid w:val="00437400"/>
    <w:rsid w:val="00440A85"/>
    <w:rsid w:val="00441D49"/>
    <w:rsid w:val="00442B5D"/>
    <w:rsid w:val="00442E1C"/>
    <w:rsid w:val="0045029A"/>
    <w:rsid w:val="0045146B"/>
    <w:rsid w:val="00453423"/>
    <w:rsid w:val="004544E6"/>
    <w:rsid w:val="00454E72"/>
    <w:rsid w:val="0045586A"/>
    <w:rsid w:val="00455D4D"/>
    <w:rsid w:val="00456985"/>
    <w:rsid w:val="0045705F"/>
    <w:rsid w:val="004578FD"/>
    <w:rsid w:val="004601C6"/>
    <w:rsid w:val="0046021A"/>
    <w:rsid w:val="00461F3F"/>
    <w:rsid w:val="00462C89"/>
    <w:rsid w:val="00463DD5"/>
    <w:rsid w:val="0046436A"/>
    <w:rsid w:val="00465ABE"/>
    <w:rsid w:val="00475A9D"/>
    <w:rsid w:val="00475CB5"/>
    <w:rsid w:val="00483D24"/>
    <w:rsid w:val="00484811"/>
    <w:rsid w:val="00484B9B"/>
    <w:rsid w:val="00485305"/>
    <w:rsid w:val="0048549B"/>
    <w:rsid w:val="00485983"/>
    <w:rsid w:val="00485BE8"/>
    <w:rsid w:val="00486D20"/>
    <w:rsid w:val="0048729F"/>
    <w:rsid w:val="0049114D"/>
    <w:rsid w:val="00492CF8"/>
    <w:rsid w:val="004957DC"/>
    <w:rsid w:val="00497253"/>
    <w:rsid w:val="00497675"/>
    <w:rsid w:val="00497F19"/>
    <w:rsid w:val="004A1BC1"/>
    <w:rsid w:val="004A2277"/>
    <w:rsid w:val="004B0516"/>
    <w:rsid w:val="004B265B"/>
    <w:rsid w:val="004B2BEC"/>
    <w:rsid w:val="004B2E3B"/>
    <w:rsid w:val="004B496D"/>
    <w:rsid w:val="004B5668"/>
    <w:rsid w:val="004B6549"/>
    <w:rsid w:val="004B7462"/>
    <w:rsid w:val="004B7BFE"/>
    <w:rsid w:val="004C0206"/>
    <w:rsid w:val="004C10A9"/>
    <w:rsid w:val="004C1CDD"/>
    <w:rsid w:val="004C4050"/>
    <w:rsid w:val="004C4C9C"/>
    <w:rsid w:val="004C55E1"/>
    <w:rsid w:val="004D01DD"/>
    <w:rsid w:val="004D116A"/>
    <w:rsid w:val="004D3408"/>
    <w:rsid w:val="004D47F3"/>
    <w:rsid w:val="004D56F2"/>
    <w:rsid w:val="004D5AFC"/>
    <w:rsid w:val="004D644A"/>
    <w:rsid w:val="004D7A16"/>
    <w:rsid w:val="004E19CD"/>
    <w:rsid w:val="004E2065"/>
    <w:rsid w:val="004E22B7"/>
    <w:rsid w:val="004E388B"/>
    <w:rsid w:val="004E4E46"/>
    <w:rsid w:val="004E7672"/>
    <w:rsid w:val="004E7862"/>
    <w:rsid w:val="004F09EA"/>
    <w:rsid w:val="004F2818"/>
    <w:rsid w:val="004F5C23"/>
    <w:rsid w:val="004F6CE8"/>
    <w:rsid w:val="004F7D0E"/>
    <w:rsid w:val="0050020B"/>
    <w:rsid w:val="00501F05"/>
    <w:rsid w:val="00502433"/>
    <w:rsid w:val="00503A77"/>
    <w:rsid w:val="005062C3"/>
    <w:rsid w:val="005147AC"/>
    <w:rsid w:val="00516ABB"/>
    <w:rsid w:val="005172A2"/>
    <w:rsid w:val="00522304"/>
    <w:rsid w:val="005223C7"/>
    <w:rsid w:val="00522837"/>
    <w:rsid w:val="00523A4E"/>
    <w:rsid w:val="00524F4C"/>
    <w:rsid w:val="00527A2B"/>
    <w:rsid w:val="00530375"/>
    <w:rsid w:val="00530D13"/>
    <w:rsid w:val="00532202"/>
    <w:rsid w:val="005348B0"/>
    <w:rsid w:val="00536D04"/>
    <w:rsid w:val="0054207B"/>
    <w:rsid w:val="0054242E"/>
    <w:rsid w:val="005449DF"/>
    <w:rsid w:val="00545243"/>
    <w:rsid w:val="005471D9"/>
    <w:rsid w:val="0054784E"/>
    <w:rsid w:val="005517F7"/>
    <w:rsid w:val="00552B36"/>
    <w:rsid w:val="0055481B"/>
    <w:rsid w:val="00556027"/>
    <w:rsid w:val="005565DB"/>
    <w:rsid w:val="005568CD"/>
    <w:rsid w:val="005610C5"/>
    <w:rsid w:val="00563579"/>
    <w:rsid w:val="00563B6E"/>
    <w:rsid w:val="0056476E"/>
    <w:rsid w:val="00564B89"/>
    <w:rsid w:val="00565426"/>
    <w:rsid w:val="0056550E"/>
    <w:rsid w:val="0056686C"/>
    <w:rsid w:val="005670B3"/>
    <w:rsid w:val="005677CF"/>
    <w:rsid w:val="00572010"/>
    <w:rsid w:val="00572467"/>
    <w:rsid w:val="00573724"/>
    <w:rsid w:val="00576804"/>
    <w:rsid w:val="00576D4A"/>
    <w:rsid w:val="00577663"/>
    <w:rsid w:val="00581765"/>
    <w:rsid w:val="00581E97"/>
    <w:rsid w:val="00582110"/>
    <w:rsid w:val="00586FE6"/>
    <w:rsid w:val="00594661"/>
    <w:rsid w:val="005954BE"/>
    <w:rsid w:val="00596D3E"/>
    <w:rsid w:val="00597749"/>
    <w:rsid w:val="005A1541"/>
    <w:rsid w:val="005A3EA9"/>
    <w:rsid w:val="005A4601"/>
    <w:rsid w:val="005A5764"/>
    <w:rsid w:val="005A6A40"/>
    <w:rsid w:val="005A7244"/>
    <w:rsid w:val="005A7F1C"/>
    <w:rsid w:val="005B13B0"/>
    <w:rsid w:val="005B4C93"/>
    <w:rsid w:val="005B7140"/>
    <w:rsid w:val="005B71D8"/>
    <w:rsid w:val="005C2AA7"/>
    <w:rsid w:val="005C3DEA"/>
    <w:rsid w:val="005C43CA"/>
    <w:rsid w:val="005D0105"/>
    <w:rsid w:val="005D2D7C"/>
    <w:rsid w:val="005D39F0"/>
    <w:rsid w:val="005D491E"/>
    <w:rsid w:val="005D584A"/>
    <w:rsid w:val="005D6941"/>
    <w:rsid w:val="005D6D3E"/>
    <w:rsid w:val="005D76D4"/>
    <w:rsid w:val="005D7E70"/>
    <w:rsid w:val="005E1143"/>
    <w:rsid w:val="005E2A7D"/>
    <w:rsid w:val="005E30BF"/>
    <w:rsid w:val="005E3F1B"/>
    <w:rsid w:val="005E3F21"/>
    <w:rsid w:val="005E420B"/>
    <w:rsid w:val="005E45C0"/>
    <w:rsid w:val="005E481F"/>
    <w:rsid w:val="005E4B8D"/>
    <w:rsid w:val="005E5EEE"/>
    <w:rsid w:val="005E7D7D"/>
    <w:rsid w:val="005F0050"/>
    <w:rsid w:val="005F283F"/>
    <w:rsid w:val="005F3318"/>
    <w:rsid w:val="005F3829"/>
    <w:rsid w:val="005F40FC"/>
    <w:rsid w:val="005F4855"/>
    <w:rsid w:val="005F5334"/>
    <w:rsid w:val="005F58E7"/>
    <w:rsid w:val="005F5F2E"/>
    <w:rsid w:val="00600449"/>
    <w:rsid w:val="006019C7"/>
    <w:rsid w:val="0060281B"/>
    <w:rsid w:val="00602ACB"/>
    <w:rsid w:val="00602ECF"/>
    <w:rsid w:val="0060306E"/>
    <w:rsid w:val="00604AAB"/>
    <w:rsid w:val="00605127"/>
    <w:rsid w:val="00606012"/>
    <w:rsid w:val="00606D44"/>
    <w:rsid w:val="00611551"/>
    <w:rsid w:val="00613E85"/>
    <w:rsid w:val="00616601"/>
    <w:rsid w:val="0061680D"/>
    <w:rsid w:val="0061799E"/>
    <w:rsid w:val="006201E4"/>
    <w:rsid w:val="00620ACA"/>
    <w:rsid w:val="00620F1A"/>
    <w:rsid w:val="00621ACF"/>
    <w:rsid w:val="00622F1D"/>
    <w:rsid w:val="00625520"/>
    <w:rsid w:val="006262A6"/>
    <w:rsid w:val="00626B3D"/>
    <w:rsid w:val="00631E9E"/>
    <w:rsid w:val="0063358B"/>
    <w:rsid w:val="006339B7"/>
    <w:rsid w:val="00634855"/>
    <w:rsid w:val="00634BDF"/>
    <w:rsid w:val="00637136"/>
    <w:rsid w:val="006417B4"/>
    <w:rsid w:val="00642A2D"/>
    <w:rsid w:val="006442D1"/>
    <w:rsid w:val="006532C3"/>
    <w:rsid w:val="00653CBF"/>
    <w:rsid w:val="006564EB"/>
    <w:rsid w:val="006566D1"/>
    <w:rsid w:val="006572F4"/>
    <w:rsid w:val="0066053B"/>
    <w:rsid w:val="006610E0"/>
    <w:rsid w:val="006623E7"/>
    <w:rsid w:val="0066502C"/>
    <w:rsid w:val="0066740C"/>
    <w:rsid w:val="0066797A"/>
    <w:rsid w:val="006701D8"/>
    <w:rsid w:val="006733BF"/>
    <w:rsid w:val="00674F4E"/>
    <w:rsid w:val="006777B6"/>
    <w:rsid w:val="00682134"/>
    <w:rsid w:val="006828A3"/>
    <w:rsid w:val="00682BC4"/>
    <w:rsid w:val="00686270"/>
    <w:rsid w:val="00686647"/>
    <w:rsid w:val="00686F83"/>
    <w:rsid w:val="0069008F"/>
    <w:rsid w:val="00691C3A"/>
    <w:rsid w:val="00695102"/>
    <w:rsid w:val="00696A24"/>
    <w:rsid w:val="006972FA"/>
    <w:rsid w:val="0069795A"/>
    <w:rsid w:val="006A0751"/>
    <w:rsid w:val="006A2787"/>
    <w:rsid w:val="006A3DC9"/>
    <w:rsid w:val="006A3FCD"/>
    <w:rsid w:val="006B0134"/>
    <w:rsid w:val="006B13AE"/>
    <w:rsid w:val="006B17DD"/>
    <w:rsid w:val="006B357D"/>
    <w:rsid w:val="006B6666"/>
    <w:rsid w:val="006B6A37"/>
    <w:rsid w:val="006B751C"/>
    <w:rsid w:val="006C0622"/>
    <w:rsid w:val="006C43C9"/>
    <w:rsid w:val="006C5AF0"/>
    <w:rsid w:val="006C68A3"/>
    <w:rsid w:val="006C7503"/>
    <w:rsid w:val="006C7E03"/>
    <w:rsid w:val="006D5168"/>
    <w:rsid w:val="006D58C6"/>
    <w:rsid w:val="006E0C2E"/>
    <w:rsid w:val="006E3941"/>
    <w:rsid w:val="006E4DCA"/>
    <w:rsid w:val="006E5C61"/>
    <w:rsid w:val="006E6484"/>
    <w:rsid w:val="006E7A5F"/>
    <w:rsid w:val="006F0658"/>
    <w:rsid w:val="006F4142"/>
    <w:rsid w:val="006F4B81"/>
    <w:rsid w:val="006F5AE9"/>
    <w:rsid w:val="006F79CE"/>
    <w:rsid w:val="00700F06"/>
    <w:rsid w:val="00701CB3"/>
    <w:rsid w:val="00703A38"/>
    <w:rsid w:val="007042D7"/>
    <w:rsid w:val="00705512"/>
    <w:rsid w:val="00705816"/>
    <w:rsid w:val="00707D30"/>
    <w:rsid w:val="00711056"/>
    <w:rsid w:val="00712D54"/>
    <w:rsid w:val="007152EB"/>
    <w:rsid w:val="007207FC"/>
    <w:rsid w:val="007231D8"/>
    <w:rsid w:val="00723798"/>
    <w:rsid w:val="00723FF4"/>
    <w:rsid w:val="00726386"/>
    <w:rsid w:val="00726B7E"/>
    <w:rsid w:val="00730B48"/>
    <w:rsid w:val="0073122A"/>
    <w:rsid w:val="00731386"/>
    <w:rsid w:val="0073237C"/>
    <w:rsid w:val="00733AC3"/>
    <w:rsid w:val="00733BB1"/>
    <w:rsid w:val="00734707"/>
    <w:rsid w:val="00735319"/>
    <w:rsid w:val="00736441"/>
    <w:rsid w:val="00736B5F"/>
    <w:rsid w:val="00736F7B"/>
    <w:rsid w:val="007406EB"/>
    <w:rsid w:val="0074147E"/>
    <w:rsid w:val="00741E8A"/>
    <w:rsid w:val="007436D6"/>
    <w:rsid w:val="007437F6"/>
    <w:rsid w:val="007440D4"/>
    <w:rsid w:val="0074536C"/>
    <w:rsid w:val="007457E5"/>
    <w:rsid w:val="00745AFA"/>
    <w:rsid w:val="00746EDB"/>
    <w:rsid w:val="007478AC"/>
    <w:rsid w:val="00750B93"/>
    <w:rsid w:val="00751931"/>
    <w:rsid w:val="007527FA"/>
    <w:rsid w:val="0075340B"/>
    <w:rsid w:val="0076058B"/>
    <w:rsid w:val="007607B6"/>
    <w:rsid w:val="0076138A"/>
    <w:rsid w:val="007625A1"/>
    <w:rsid w:val="00763C14"/>
    <w:rsid w:val="00764C8A"/>
    <w:rsid w:val="00766625"/>
    <w:rsid w:val="0076698D"/>
    <w:rsid w:val="00767264"/>
    <w:rsid w:val="00767662"/>
    <w:rsid w:val="007676B6"/>
    <w:rsid w:val="00770E75"/>
    <w:rsid w:val="007711E8"/>
    <w:rsid w:val="007715A5"/>
    <w:rsid w:val="00772E65"/>
    <w:rsid w:val="007764DD"/>
    <w:rsid w:val="00776C11"/>
    <w:rsid w:val="007771F7"/>
    <w:rsid w:val="007774C3"/>
    <w:rsid w:val="007833DE"/>
    <w:rsid w:val="0078523C"/>
    <w:rsid w:val="007852BE"/>
    <w:rsid w:val="00785368"/>
    <w:rsid w:val="00786AD3"/>
    <w:rsid w:val="00786F61"/>
    <w:rsid w:val="007904D7"/>
    <w:rsid w:val="00790753"/>
    <w:rsid w:val="0079110D"/>
    <w:rsid w:val="007911EB"/>
    <w:rsid w:val="0079244F"/>
    <w:rsid w:val="00792909"/>
    <w:rsid w:val="00792E9A"/>
    <w:rsid w:val="00796007"/>
    <w:rsid w:val="007A0443"/>
    <w:rsid w:val="007A08D0"/>
    <w:rsid w:val="007A13E0"/>
    <w:rsid w:val="007A2716"/>
    <w:rsid w:val="007A2DAF"/>
    <w:rsid w:val="007A3093"/>
    <w:rsid w:val="007A4CBA"/>
    <w:rsid w:val="007A6062"/>
    <w:rsid w:val="007A7E8B"/>
    <w:rsid w:val="007B1978"/>
    <w:rsid w:val="007B4BA5"/>
    <w:rsid w:val="007B5BA6"/>
    <w:rsid w:val="007B77DE"/>
    <w:rsid w:val="007C2756"/>
    <w:rsid w:val="007C56A4"/>
    <w:rsid w:val="007C6779"/>
    <w:rsid w:val="007C6E7A"/>
    <w:rsid w:val="007D10C4"/>
    <w:rsid w:val="007D139D"/>
    <w:rsid w:val="007D1F86"/>
    <w:rsid w:val="007D34F4"/>
    <w:rsid w:val="007D6B16"/>
    <w:rsid w:val="007E011D"/>
    <w:rsid w:val="007E1288"/>
    <w:rsid w:val="007E14AB"/>
    <w:rsid w:val="007E2AE0"/>
    <w:rsid w:val="007E3306"/>
    <w:rsid w:val="007E4151"/>
    <w:rsid w:val="007E5C54"/>
    <w:rsid w:val="007F1302"/>
    <w:rsid w:val="007F1FF4"/>
    <w:rsid w:val="007F20DE"/>
    <w:rsid w:val="007F5600"/>
    <w:rsid w:val="007F57C2"/>
    <w:rsid w:val="007F5CAB"/>
    <w:rsid w:val="008027C8"/>
    <w:rsid w:val="008040B9"/>
    <w:rsid w:val="00804C39"/>
    <w:rsid w:val="008103C7"/>
    <w:rsid w:val="00811049"/>
    <w:rsid w:val="00811177"/>
    <w:rsid w:val="00811F3B"/>
    <w:rsid w:val="00811FF6"/>
    <w:rsid w:val="00813E52"/>
    <w:rsid w:val="008145AB"/>
    <w:rsid w:val="00816244"/>
    <w:rsid w:val="00816477"/>
    <w:rsid w:val="008204C2"/>
    <w:rsid w:val="008219B3"/>
    <w:rsid w:val="0082428E"/>
    <w:rsid w:val="0082506A"/>
    <w:rsid w:val="00827BFA"/>
    <w:rsid w:val="00831E7D"/>
    <w:rsid w:val="00831F36"/>
    <w:rsid w:val="008321F7"/>
    <w:rsid w:val="00836A7E"/>
    <w:rsid w:val="00837B20"/>
    <w:rsid w:val="00841DF1"/>
    <w:rsid w:val="0084393E"/>
    <w:rsid w:val="00844394"/>
    <w:rsid w:val="00845297"/>
    <w:rsid w:val="00857F0B"/>
    <w:rsid w:val="00857FCC"/>
    <w:rsid w:val="008610CC"/>
    <w:rsid w:val="00863D9D"/>
    <w:rsid w:val="00864F76"/>
    <w:rsid w:val="008672CB"/>
    <w:rsid w:val="00870274"/>
    <w:rsid w:val="00870985"/>
    <w:rsid w:val="008718B5"/>
    <w:rsid w:val="008726C4"/>
    <w:rsid w:val="00872F78"/>
    <w:rsid w:val="008749DA"/>
    <w:rsid w:val="00874B0D"/>
    <w:rsid w:val="00876648"/>
    <w:rsid w:val="00876D7A"/>
    <w:rsid w:val="00877C0C"/>
    <w:rsid w:val="00880059"/>
    <w:rsid w:val="008802B3"/>
    <w:rsid w:val="008859E7"/>
    <w:rsid w:val="008862EE"/>
    <w:rsid w:val="00887945"/>
    <w:rsid w:val="008915B1"/>
    <w:rsid w:val="0089191E"/>
    <w:rsid w:val="00891C88"/>
    <w:rsid w:val="00891DD4"/>
    <w:rsid w:val="00892F33"/>
    <w:rsid w:val="00895D13"/>
    <w:rsid w:val="008A0338"/>
    <w:rsid w:val="008A1911"/>
    <w:rsid w:val="008A2033"/>
    <w:rsid w:val="008A24DD"/>
    <w:rsid w:val="008A27D8"/>
    <w:rsid w:val="008A299E"/>
    <w:rsid w:val="008A31BB"/>
    <w:rsid w:val="008A7529"/>
    <w:rsid w:val="008A7794"/>
    <w:rsid w:val="008B12EE"/>
    <w:rsid w:val="008B133E"/>
    <w:rsid w:val="008B1613"/>
    <w:rsid w:val="008B1E7E"/>
    <w:rsid w:val="008B3261"/>
    <w:rsid w:val="008B3A9C"/>
    <w:rsid w:val="008B6A6F"/>
    <w:rsid w:val="008B764E"/>
    <w:rsid w:val="008C1506"/>
    <w:rsid w:val="008C1692"/>
    <w:rsid w:val="008C57DA"/>
    <w:rsid w:val="008C5B5B"/>
    <w:rsid w:val="008C5D20"/>
    <w:rsid w:val="008C74E3"/>
    <w:rsid w:val="008C7D25"/>
    <w:rsid w:val="008D4D63"/>
    <w:rsid w:val="008D6903"/>
    <w:rsid w:val="008D700A"/>
    <w:rsid w:val="008D7B15"/>
    <w:rsid w:val="008E139E"/>
    <w:rsid w:val="008E1A55"/>
    <w:rsid w:val="008E3561"/>
    <w:rsid w:val="008E586E"/>
    <w:rsid w:val="008E6539"/>
    <w:rsid w:val="008E73C9"/>
    <w:rsid w:val="008E7468"/>
    <w:rsid w:val="008F0DB7"/>
    <w:rsid w:val="008F399A"/>
    <w:rsid w:val="008F3CDE"/>
    <w:rsid w:val="008F3EA5"/>
    <w:rsid w:val="008F4112"/>
    <w:rsid w:val="008F47EE"/>
    <w:rsid w:val="00901172"/>
    <w:rsid w:val="009013B1"/>
    <w:rsid w:val="00902487"/>
    <w:rsid w:val="00904163"/>
    <w:rsid w:val="0090577C"/>
    <w:rsid w:val="00905E0E"/>
    <w:rsid w:val="00906CE2"/>
    <w:rsid w:val="009114B7"/>
    <w:rsid w:val="00911F7D"/>
    <w:rsid w:val="00912B9E"/>
    <w:rsid w:val="00912DC7"/>
    <w:rsid w:val="00912F5C"/>
    <w:rsid w:val="00913415"/>
    <w:rsid w:val="009156CE"/>
    <w:rsid w:val="00916769"/>
    <w:rsid w:val="009205BF"/>
    <w:rsid w:val="00920FEB"/>
    <w:rsid w:val="00921F11"/>
    <w:rsid w:val="00922040"/>
    <w:rsid w:val="00923F02"/>
    <w:rsid w:val="0092740E"/>
    <w:rsid w:val="0093177E"/>
    <w:rsid w:val="00932525"/>
    <w:rsid w:val="0093275A"/>
    <w:rsid w:val="00933C02"/>
    <w:rsid w:val="009348E9"/>
    <w:rsid w:val="00935061"/>
    <w:rsid w:val="009377D6"/>
    <w:rsid w:val="0094056B"/>
    <w:rsid w:val="00943A02"/>
    <w:rsid w:val="00943A07"/>
    <w:rsid w:val="009445FE"/>
    <w:rsid w:val="00944E03"/>
    <w:rsid w:val="00945345"/>
    <w:rsid w:val="009474C3"/>
    <w:rsid w:val="009504AD"/>
    <w:rsid w:val="009508B9"/>
    <w:rsid w:val="0095163F"/>
    <w:rsid w:val="00954AD8"/>
    <w:rsid w:val="00955A77"/>
    <w:rsid w:val="00955E9E"/>
    <w:rsid w:val="00964EB9"/>
    <w:rsid w:val="009651B5"/>
    <w:rsid w:val="0096591F"/>
    <w:rsid w:val="00966C62"/>
    <w:rsid w:val="009676F0"/>
    <w:rsid w:val="00967DEF"/>
    <w:rsid w:val="00970597"/>
    <w:rsid w:val="00970BBC"/>
    <w:rsid w:val="009715DF"/>
    <w:rsid w:val="00971C58"/>
    <w:rsid w:val="00972848"/>
    <w:rsid w:val="00974EEC"/>
    <w:rsid w:val="00975849"/>
    <w:rsid w:val="0097620F"/>
    <w:rsid w:val="00976C65"/>
    <w:rsid w:val="009836EC"/>
    <w:rsid w:val="009839B6"/>
    <w:rsid w:val="00983EE0"/>
    <w:rsid w:val="00983F7C"/>
    <w:rsid w:val="00984114"/>
    <w:rsid w:val="00986F3C"/>
    <w:rsid w:val="00987842"/>
    <w:rsid w:val="00987E9C"/>
    <w:rsid w:val="00990F1C"/>
    <w:rsid w:val="009925E0"/>
    <w:rsid w:val="00992D8C"/>
    <w:rsid w:val="00994411"/>
    <w:rsid w:val="0099582A"/>
    <w:rsid w:val="00997025"/>
    <w:rsid w:val="00997197"/>
    <w:rsid w:val="009A2C15"/>
    <w:rsid w:val="009A46D4"/>
    <w:rsid w:val="009A5A7F"/>
    <w:rsid w:val="009A6E93"/>
    <w:rsid w:val="009B17AB"/>
    <w:rsid w:val="009B1D72"/>
    <w:rsid w:val="009B45AE"/>
    <w:rsid w:val="009B71F1"/>
    <w:rsid w:val="009C1BF6"/>
    <w:rsid w:val="009C200B"/>
    <w:rsid w:val="009C22ED"/>
    <w:rsid w:val="009C3C7D"/>
    <w:rsid w:val="009C5A23"/>
    <w:rsid w:val="009C6906"/>
    <w:rsid w:val="009D2203"/>
    <w:rsid w:val="009D2EE7"/>
    <w:rsid w:val="009D54EE"/>
    <w:rsid w:val="009D6D5A"/>
    <w:rsid w:val="009D7752"/>
    <w:rsid w:val="009E3243"/>
    <w:rsid w:val="009E3637"/>
    <w:rsid w:val="009E3B5C"/>
    <w:rsid w:val="009E3B5E"/>
    <w:rsid w:val="009E4071"/>
    <w:rsid w:val="009E5A25"/>
    <w:rsid w:val="009E681E"/>
    <w:rsid w:val="009E69EE"/>
    <w:rsid w:val="009F0A89"/>
    <w:rsid w:val="009F2B3A"/>
    <w:rsid w:val="009F3817"/>
    <w:rsid w:val="009F5A35"/>
    <w:rsid w:val="009F5EFD"/>
    <w:rsid w:val="009F751D"/>
    <w:rsid w:val="00A04050"/>
    <w:rsid w:val="00A05AE4"/>
    <w:rsid w:val="00A05B5D"/>
    <w:rsid w:val="00A121C8"/>
    <w:rsid w:val="00A149AF"/>
    <w:rsid w:val="00A1533D"/>
    <w:rsid w:val="00A15536"/>
    <w:rsid w:val="00A15E79"/>
    <w:rsid w:val="00A2088E"/>
    <w:rsid w:val="00A20E64"/>
    <w:rsid w:val="00A20F5B"/>
    <w:rsid w:val="00A22BE9"/>
    <w:rsid w:val="00A22DF7"/>
    <w:rsid w:val="00A23966"/>
    <w:rsid w:val="00A24C0C"/>
    <w:rsid w:val="00A24D82"/>
    <w:rsid w:val="00A24F3C"/>
    <w:rsid w:val="00A2501C"/>
    <w:rsid w:val="00A25063"/>
    <w:rsid w:val="00A30A1A"/>
    <w:rsid w:val="00A31D12"/>
    <w:rsid w:val="00A35967"/>
    <w:rsid w:val="00A370CE"/>
    <w:rsid w:val="00A371D5"/>
    <w:rsid w:val="00A43640"/>
    <w:rsid w:val="00A450DF"/>
    <w:rsid w:val="00A47A78"/>
    <w:rsid w:val="00A47B38"/>
    <w:rsid w:val="00A51C4B"/>
    <w:rsid w:val="00A52606"/>
    <w:rsid w:val="00A537B4"/>
    <w:rsid w:val="00A53AE6"/>
    <w:rsid w:val="00A55442"/>
    <w:rsid w:val="00A556EC"/>
    <w:rsid w:val="00A561B8"/>
    <w:rsid w:val="00A56A81"/>
    <w:rsid w:val="00A5701B"/>
    <w:rsid w:val="00A57E2E"/>
    <w:rsid w:val="00A60424"/>
    <w:rsid w:val="00A62911"/>
    <w:rsid w:val="00A62AA6"/>
    <w:rsid w:val="00A62FC9"/>
    <w:rsid w:val="00A6399C"/>
    <w:rsid w:val="00A63AA2"/>
    <w:rsid w:val="00A66104"/>
    <w:rsid w:val="00A663C6"/>
    <w:rsid w:val="00A70644"/>
    <w:rsid w:val="00A706F1"/>
    <w:rsid w:val="00A70B11"/>
    <w:rsid w:val="00A7186C"/>
    <w:rsid w:val="00A72FCE"/>
    <w:rsid w:val="00A7383E"/>
    <w:rsid w:val="00A74679"/>
    <w:rsid w:val="00A751AE"/>
    <w:rsid w:val="00A76FCB"/>
    <w:rsid w:val="00A770A5"/>
    <w:rsid w:val="00A7742F"/>
    <w:rsid w:val="00A81164"/>
    <w:rsid w:val="00A833D9"/>
    <w:rsid w:val="00A851E6"/>
    <w:rsid w:val="00A912C6"/>
    <w:rsid w:val="00A91F5C"/>
    <w:rsid w:val="00A95556"/>
    <w:rsid w:val="00A97966"/>
    <w:rsid w:val="00A97CA5"/>
    <w:rsid w:val="00AA1CE7"/>
    <w:rsid w:val="00AA2624"/>
    <w:rsid w:val="00AA4544"/>
    <w:rsid w:val="00AA7249"/>
    <w:rsid w:val="00AB0A26"/>
    <w:rsid w:val="00AB105E"/>
    <w:rsid w:val="00AB1343"/>
    <w:rsid w:val="00AB5085"/>
    <w:rsid w:val="00AB75CD"/>
    <w:rsid w:val="00AC014B"/>
    <w:rsid w:val="00AC1049"/>
    <w:rsid w:val="00AC323E"/>
    <w:rsid w:val="00AC39F7"/>
    <w:rsid w:val="00AC3CE2"/>
    <w:rsid w:val="00AC3DE6"/>
    <w:rsid w:val="00AC4F56"/>
    <w:rsid w:val="00AC5E07"/>
    <w:rsid w:val="00AC6611"/>
    <w:rsid w:val="00AD115F"/>
    <w:rsid w:val="00AD3001"/>
    <w:rsid w:val="00AD5A7E"/>
    <w:rsid w:val="00AD5AC5"/>
    <w:rsid w:val="00AD7B67"/>
    <w:rsid w:val="00AE0AA6"/>
    <w:rsid w:val="00AE0E46"/>
    <w:rsid w:val="00AE28D7"/>
    <w:rsid w:val="00AE34CA"/>
    <w:rsid w:val="00AE48F4"/>
    <w:rsid w:val="00AE4B9F"/>
    <w:rsid w:val="00AE4D51"/>
    <w:rsid w:val="00AE5951"/>
    <w:rsid w:val="00AE7716"/>
    <w:rsid w:val="00AE7E86"/>
    <w:rsid w:val="00AF0B97"/>
    <w:rsid w:val="00AF0E47"/>
    <w:rsid w:val="00AF1029"/>
    <w:rsid w:val="00AF31B1"/>
    <w:rsid w:val="00AF43F0"/>
    <w:rsid w:val="00AF7CB4"/>
    <w:rsid w:val="00B00E6D"/>
    <w:rsid w:val="00B011EC"/>
    <w:rsid w:val="00B026A3"/>
    <w:rsid w:val="00B04A7C"/>
    <w:rsid w:val="00B0615D"/>
    <w:rsid w:val="00B0639B"/>
    <w:rsid w:val="00B0684F"/>
    <w:rsid w:val="00B0780F"/>
    <w:rsid w:val="00B07DF8"/>
    <w:rsid w:val="00B07E4D"/>
    <w:rsid w:val="00B07E55"/>
    <w:rsid w:val="00B119D0"/>
    <w:rsid w:val="00B13B5B"/>
    <w:rsid w:val="00B13E84"/>
    <w:rsid w:val="00B14D05"/>
    <w:rsid w:val="00B15D4E"/>
    <w:rsid w:val="00B160D1"/>
    <w:rsid w:val="00B16B8F"/>
    <w:rsid w:val="00B16CC1"/>
    <w:rsid w:val="00B1707A"/>
    <w:rsid w:val="00B1723C"/>
    <w:rsid w:val="00B204DE"/>
    <w:rsid w:val="00B22B9E"/>
    <w:rsid w:val="00B23072"/>
    <w:rsid w:val="00B23762"/>
    <w:rsid w:val="00B25DE0"/>
    <w:rsid w:val="00B30FCB"/>
    <w:rsid w:val="00B31FE8"/>
    <w:rsid w:val="00B323C4"/>
    <w:rsid w:val="00B328A1"/>
    <w:rsid w:val="00B32967"/>
    <w:rsid w:val="00B371F3"/>
    <w:rsid w:val="00B409CA"/>
    <w:rsid w:val="00B41824"/>
    <w:rsid w:val="00B42C97"/>
    <w:rsid w:val="00B47656"/>
    <w:rsid w:val="00B508D1"/>
    <w:rsid w:val="00B53719"/>
    <w:rsid w:val="00B53F78"/>
    <w:rsid w:val="00B554F0"/>
    <w:rsid w:val="00B5779E"/>
    <w:rsid w:val="00B60148"/>
    <w:rsid w:val="00B6036F"/>
    <w:rsid w:val="00B604BE"/>
    <w:rsid w:val="00B60D45"/>
    <w:rsid w:val="00B63875"/>
    <w:rsid w:val="00B64D21"/>
    <w:rsid w:val="00B6528C"/>
    <w:rsid w:val="00B65A26"/>
    <w:rsid w:val="00B65E45"/>
    <w:rsid w:val="00B66867"/>
    <w:rsid w:val="00B675B1"/>
    <w:rsid w:val="00B711C5"/>
    <w:rsid w:val="00B713EE"/>
    <w:rsid w:val="00B714B1"/>
    <w:rsid w:val="00B71E22"/>
    <w:rsid w:val="00B739DA"/>
    <w:rsid w:val="00B74970"/>
    <w:rsid w:val="00B76022"/>
    <w:rsid w:val="00B81EAD"/>
    <w:rsid w:val="00B82CE2"/>
    <w:rsid w:val="00B86884"/>
    <w:rsid w:val="00B8780B"/>
    <w:rsid w:val="00B87967"/>
    <w:rsid w:val="00B907C0"/>
    <w:rsid w:val="00B92E76"/>
    <w:rsid w:val="00B93956"/>
    <w:rsid w:val="00B93AD2"/>
    <w:rsid w:val="00B94AD7"/>
    <w:rsid w:val="00B95E0F"/>
    <w:rsid w:val="00B96243"/>
    <w:rsid w:val="00B9772D"/>
    <w:rsid w:val="00B97900"/>
    <w:rsid w:val="00BA06F7"/>
    <w:rsid w:val="00BA30FF"/>
    <w:rsid w:val="00BA32FF"/>
    <w:rsid w:val="00BA35F5"/>
    <w:rsid w:val="00BA49DD"/>
    <w:rsid w:val="00BA4D53"/>
    <w:rsid w:val="00BA6B2C"/>
    <w:rsid w:val="00BA72F3"/>
    <w:rsid w:val="00BB1142"/>
    <w:rsid w:val="00BB1498"/>
    <w:rsid w:val="00BB23D4"/>
    <w:rsid w:val="00BB2AEA"/>
    <w:rsid w:val="00BB521B"/>
    <w:rsid w:val="00BB7231"/>
    <w:rsid w:val="00BB7E9B"/>
    <w:rsid w:val="00BC1D18"/>
    <w:rsid w:val="00BC274F"/>
    <w:rsid w:val="00BC3D0E"/>
    <w:rsid w:val="00BC5742"/>
    <w:rsid w:val="00BC6874"/>
    <w:rsid w:val="00BD04CB"/>
    <w:rsid w:val="00BD0686"/>
    <w:rsid w:val="00BD0B31"/>
    <w:rsid w:val="00BD11DC"/>
    <w:rsid w:val="00BD3744"/>
    <w:rsid w:val="00BD3DB9"/>
    <w:rsid w:val="00BD45E4"/>
    <w:rsid w:val="00BD4F7C"/>
    <w:rsid w:val="00BD653D"/>
    <w:rsid w:val="00BD67D1"/>
    <w:rsid w:val="00BE228E"/>
    <w:rsid w:val="00BE331A"/>
    <w:rsid w:val="00BE463D"/>
    <w:rsid w:val="00BE7C0D"/>
    <w:rsid w:val="00BF29A7"/>
    <w:rsid w:val="00BF2E72"/>
    <w:rsid w:val="00BF4920"/>
    <w:rsid w:val="00BF6296"/>
    <w:rsid w:val="00BF7127"/>
    <w:rsid w:val="00BF7A8E"/>
    <w:rsid w:val="00C025F3"/>
    <w:rsid w:val="00C02C96"/>
    <w:rsid w:val="00C03DC7"/>
    <w:rsid w:val="00C042E4"/>
    <w:rsid w:val="00C05745"/>
    <w:rsid w:val="00C1158E"/>
    <w:rsid w:val="00C11797"/>
    <w:rsid w:val="00C12995"/>
    <w:rsid w:val="00C1350D"/>
    <w:rsid w:val="00C13980"/>
    <w:rsid w:val="00C21EC5"/>
    <w:rsid w:val="00C2384C"/>
    <w:rsid w:val="00C2571C"/>
    <w:rsid w:val="00C31101"/>
    <w:rsid w:val="00C31AA6"/>
    <w:rsid w:val="00C31B41"/>
    <w:rsid w:val="00C3293E"/>
    <w:rsid w:val="00C33559"/>
    <w:rsid w:val="00C33BCB"/>
    <w:rsid w:val="00C3488E"/>
    <w:rsid w:val="00C3741C"/>
    <w:rsid w:val="00C40D9E"/>
    <w:rsid w:val="00C42277"/>
    <w:rsid w:val="00C42442"/>
    <w:rsid w:val="00C42BB5"/>
    <w:rsid w:val="00C43CA3"/>
    <w:rsid w:val="00C44094"/>
    <w:rsid w:val="00C46848"/>
    <w:rsid w:val="00C4700F"/>
    <w:rsid w:val="00C476CE"/>
    <w:rsid w:val="00C47A23"/>
    <w:rsid w:val="00C50116"/>
    <w:rsid w:val="00C528E2"/>
    <w:rsid w:val="00C52D58"/>
    <w:rsid w:val="00C53D81"/>
    <w:rsid w:val="00C56A8E"/>
    <w:rsid w:val="00C56DEE"/>
    <w:rsid w:val="00C57451"/>
    <w:rsid w:val="00C57879"/>
    <w:rsid w:val="00C5792D"/>
    <w:rsid w:val="00C606EE"/>
    <w:rsid w:val="00C61708"/>
    <w:rsid w:val="00C61AC5"/>
    <w:rsid w:val="00C63A1D"/>
    <w:rsid w:val="00C64460"/>
    <w:rsid w:val="00C6519A"/>
    <w:rsid w:val="00C65828"/>
    <w:rsid w:val="00C71021"/>
    <w:rsid w:val="00C7369F"/>
    <w:rsid w:val="00C75543"/>
    <w:rsid w:val="00C7558E"/>
    <w:rsid w:val="00C77058"/>
    <w:rsid w:val="00C77F50"/>
    <w:rsid w:val="00C80E3F"/>
    <w:rsid w:val="00C81042"/>
    <w:rsid w:val="00C847B0"/>
    <w:rsid w:val="00C84F1F"/>
    <w:rsid w:val="00C90812"/>
    <w:rsid w:val="00C92989"/>
    <w:rsid w:val="00C92DE5"/>
    <w:rsid w:val="00C94536"/>
    <w:rsid w:val="00C95213"/>
    <w:rsid w:val="00C96B89"/>
    <w:rsid w:val="00CA047E"/>
    <w:rsid w:val="00CA1EDF"/>
    <w:rsid w:val="00CA2357"/>
    <w:rsid w:val="00CA2BBF"/>
    <w:rsid w:val="00CA3056"/>
    <w:rsid w:val="00CA37AC"/>
    <w:rsid w:val="00CA3D2F"/>
    <w:rsid w:val="00CA3EFF"/>
    <w:rsid w:val="00CA6BE0"/>
    <w:rsid w:val="00CA75D3"/>
    <w:rsid w:val="00CA796F"/>
    <w:rsid w:val="00CB0B05"/>
    <w:rsid w:val="00CB194D"/>
    <w:rsid w:val="00CB3153"/>
    <w:rsid w:val="00CB373C"/>
    <w:rsid w:val="00CB39F0"/>
    <w:rsid w:val="00CB3A11"/>
    <w:rsid w:val="00CB3EEF"/>
    <w:rsid w:val="00CB5F08"/>
    <w:rsid w:val="00CB6B10"/>
    <w:rsid w:val="00CB77FA"/>
    <w:rsid w:val="00CC0D16"/>
    <w:rsid w:val="00CC15A5"/>
    <w:rsid w:val="00CC3420"/>
    <w:rsid w:val="00CD0175"/>
    <w:rsid w:val="00CD0AEB"/>
    <w:rsid w:val="00CD2556"/>
    <w:rsid w:val="00CD380E"/>
    <w:rsid w:val="00CD3C8B"/>
    <w:rsid w:val="00CD4169"/>
    <w:rsid w:val="00CD44BE"/>
    <w:rsid w:val="00CD69D3"/>
    <w:rsid w:val="00CD7ADC"/>
    <w:rsid w:val="00CD7B7E"/>
    <w:rsid w:val="00CE165B"/>
    <w:rsid w:val="00CE1D8F"/>
    <w:rsid w:val="00CE1E4D"/>
    <w:rsid w:val="00CE2E9A"/>
    <w:rsid w:val="00CE42C5"/>
    <w:rsid w:val="00CE43C6"/>
    <w:rsid w:val="00CE478E"/>
    <w:rsid w:val="00CE546A"/>
    <w:rsid w:val="00CE7A75"/>
    <w:rsid w:val="00CF11D6"/>
    <w:rsid w:val="00CF170D"/>
    <w:rsid w:val="00CF4360"/>
    <w:rsid w:val="00CF543C"/>
    <w:rsid w:val="00CF6ED4"/>
    <w:rsid w:val="00CF7A91"/>
    <w:rsid w:val="00D00BDE"/>
    <w:rsid w:val="00D03505"/>
    <w:rsid w:val="00D05675"/>
    <w:rsid w:val="00D070F7"/>
    <w:rsid w:val="00D07CAD"/>
    <w:rsid w:val="00D130D9"/>
    <w:rsid w:val="00D15260"/>
    <w:rsid w:val="00D1638A"/>
    <w:rsid w:val="00D168B5"/>
    <w:rsid w:val="00D16C35"/>
    <w:rsid w:val="00D16F2E"/>
    <w:rsid w:val="00D2107D"/>
    <w:rsid w:val="00D21889"/>
    <w:rsid w:val="00D21911"/>
    <w:rsid w:val="00D21918"/>
    <w:rsid w:val="00D23E53"/>
    <w:rsid w:val="00D251C6"/>
    <w:rsid w:val="00D26FE1"/>
    <w:rsid w:val="00D2739D"/>
    <w:rsid w:val="00D316FC"/>
    <w:rsid w:val="00D334AE"/>
    <w:rsid w:val="00D33DE1"/>
    <w:rsid w:val="00D350BB"/>
    <w:rsid w:val="00D36C70"/>
    <w:rsid w:val="00D42C13"/>
    <w:rsid w:val="00D43413"/>
    <w:rsid w:val="00D43459"/>
    <w:rsid w:val="00D445FD"/>
    <w:rsid w:val="00D448E8"/>
    <w:rsid w:val="00D450DF"/>
    <w:rsid w:val="00D47A9F"/>
    <w:rsid w:val="00D528B1"/>
    <w:rsid w:val="00D53096"/>
    <w:rsid w:val="00D5405F"/>
    <w:rsid w:val="00D56023"/>
    <w:rsid w:val="00D573BC"/>
    <w:rsid w:val="00D61F67"/>
    <w:rsid w:val="00D631F1"/>
    <w:rsid w:val="00D67441"/>
    <w:rsid w:val="00D72E9B"/>
    <w:rsid w:val="00D75125"/>
    <w:rsid w:val="00D76359"/>
    <w:rsid w:val="00D77299"/>
    <w:rsid w:val="00D8044F"/>
    <w:rsid w:val="00D807B2"/>
    <w:rsid w:val="00D8097B"/>
    <w:rsid w:val="00D82990"/>
    <w:rsid w:val="00D82E72"/>
    <w:rsid w:val="00D8323A"/>
    <w:rsid w:val="00D85376"/>
    <w:rsid w:val="00D86519"/>
    <w:rsid w:val="00D86B8E"/>
    <w:rsid w:val="00D913ED"/>
    <w:rsid w:val="00D91E66"/>
    <w:rsid w:val="00D92DE5"/>
    <w:rsid w:val="00D93FB5"/>
    <w:rsid w:val="00D942A6"/>
    <w:rsid w:val="00D953CE"/>
    <w:rsid w:val="00D97502"/>
    <w:rsid w:val="00DA3EDB"/>
    <w:rsid w:val="00DA67B1"/>
    <w:rsid w:val="00DB3D23"/>
    <w:rsid w:val="00DB59FE"/>
    <w:rsid w:val="00DC0FD3"/>
    <w:rsid w:val="00DC149E"/>
    <w:rsid w:val="00DC230D"/>
    <w:rsid w:val="00DC2531"/>
    <w:rsid w:val="00DC28C0"/>
    <w:rsid w:val="00DC7784"/>
    <w:rsid w:val="00DC79F9"/>
    <w:rsid w:val="00DD3266"/>
    <w:rsid w:val="00DD6916"/>
    <w:rsid w:val="00DE199A"/>
    <w:rsid w:val="00DE2440"/>
    <w:rsid w:val="00DE34A7"/>
    <w:rsid w:val="00DE3BE0"/>
    <w:rsid w:val="00DE430F"/>
    <w:rsid w:val="00DE4E34"/>
    <w:rsid w:val="00DE6C08"/>
    <w:rsid w:val="00DF0755"/>
    <w:rsid w:val="00DF15D0"/>
    <w:rsid w:val="00DF260B"/>
    <w:rsid w:val="00DF296F"/>
    <w:rsid w:val="00DF3D7B"/>
    <w:rsid w:val="00DF4484"/>
    <w:rsid w:val="00DF510D"/>
    <w:rsid w:val="00DF5A2E"/>
    <w:rsid w:val="00DF662C"/>
    <w:rsid w:val="00E00237"/>
    <w:rsid w:val="00E00350"/>
    <w:rsid w:val="00E003EB"/>
    <w:rsid w:val="00E01898"/>
    <w:rsid w:val="00E01EB6"/>
    <w:rsid w:val="00E034DC"/>
    <w:rsid w:val="00E06038"/>
    <w:rsid w:val="00E1282C"/>
    <w:rsid w:val="00E13D3B"/>
    <w:rsid w:val="00E150FE"/>
    <w:rsid w:val="00E16695"/>
    <w:rsid w:val="00E202D8"/>
    <w:rsid w:val="00E23639"/>
    <w:rsid w:val="00E24A8E"/>
    <w:rsid w:val="00E24D45"/>
    <w:rsid w:val="00E27561"/>
    <w:rsid w:val="00E30FD4"/>
    <w:rsid w:val="00E31CCA"/>
    <w:rsid w:val="00E329A1"/>
    <w:rsid w:val="00E34035"/>
    <w:rsid w:val="00E3479F"/>
    <w:rsid w:val="00E3554A"/>
    <w:rsid w:val="00E356F1"/>
    <w:rsid w:val="00E3589A"/>
    <w:rsid w:val="00E36B64"/>
    <w:rsid w:val="00E40CC0"/>
    <w:rsid w:val="00E51975"/>
    <w:rsid w:val="00E52140"/>
    <w:rsid w:val="00E6097C"/>
    <w:rsid w:val="00E617BC"/>
    <w:rsid w:val="00E63666"/>
    <w:rsid w:val="00E65DC9"/>
    <w:rsid w:val="00E676F3"/>
    <w:rsid w:val="00E70078"/>
    <w:rsid w:val="00E711E8"/>
    <w:rsid w:val="00E72C89"/>
    <w:rsid w:val="00E74968"/>
    <w:rsid w:val="00E75275"/>
    <w:rsid w:val="00E766FA"/>
    <w:rsid w:val="00E809FC"/>
    <w:rsid w:val="00E83334"/>
    <w:rsid w:val="00E86363"/>
    <w:rsid w:val="00E867E5"/>
    <w:rsid w:val="00E900FE"/>
    <w:rsid w:val="00E91A54"/>
    <w:rsid w:val="00E91FEA"/>
    <w:rsid w:val="00E92B7D"/>
    <w:rsid w:val="00E9599B"/>
    <w:rsid w:val="00E95F3B"/>
    <w:rsid w:val="00E96AC0"/>
    <w:rsid w:val="00E97323"/>
    <w:rsid w:val="00E97BEA"/>
    <w:rsid w:val="00EA19A7"/>
    <w:rsid w:val="00EA24FA"/>
    <w:rsid w:val="00EA3916"/>
    <w:rsid w:val="00EA66D7"/>
    <w:rsid w:val="00EA6BDD"/>
    <w:rsid w:val="00EA73B6"/>
    <w:rsid w:val="00EB00D1"/>
    <w:rsid w:val="00EB0F7D"/>
    <w:rsid w:val="00EB3414"/>
    <w:rsid w:val="00EB3608"/>
    <w:rsid w:val="00EB36D2"/>
    <w:rsid w:val="00EB3E7D"/>
    <w:rsid w:val="00EB5D29"/>
    <w:rsid w:val="00EB7528"/>
    <w:rsid w:val="00EC3E71"/>
    <w:rsid w:val="00EC7977"/>
    <w:rsid w:val="00ED276C"/>
    <w:rsid w:val="00ED28AE"/>
    <w:rsid w:val="00ED3014"/>
    <w:rsid w:val="00ED48A0"/>
    <w:rsid w:val="00EE1C92"/>
    <w:rsid w:val="00EE21A6"/>
    <w:rsid w:val="00EE22F3"/>
    <w:rsid w:val="00EE3EFF"/>
    <w:rsid w:val="00EE4F94"/>
    <w:rsid w:val="00EE524A"/>
    <w:rsid w:val="00EE54C1"/>
    <w:rsid w:val="00EE5A0C"/>
    <w:rsid w:val="00EE623D"/>
    <w:rsid w:val="00EE7286"/>
    <w:rsid w:val="00EF222F"/>
    <w:rsid w:val="00EF2F16"/>
    <w:rsid w:val="00EF5174"/>
    <w:rsid w:val="00EF5825"/>
    <w:rsid w:val="00EF6290"/>
    <w:rsid w:val="00EF64FF"/>
    <w:rsid w:val="00EF66DE"/>
    <w:rsid w:val="00EF7041"/>
    <w:rsid w:val="00EF78D5"/>
    <w:rsid w:val="00F003DB"/>
    <w:rsid w:val="00F03106"/>
    <w:rsid w:val="00F049D6"/>
    <w:rsid w:val="00F05585"/>
    <w:rsid w:val="00F10EA9"/>
    <w:rsid w:val="00F12F52"/>
    <w:rsid w:val="00F13936"/>
    <w:rsid w:val="00F1398B"/>
    <w:rsid w:val="00F148A4"/>
    <w:rsid w:val="00F15CED"/>
    <w:rsid w:val="00F16DCF"/>
    <w:rsid w:val="00F17C65"/>
    <w:rsid w:val="00F17C7D"/>
    <w:rsid w:val="00F21A40"/>
    <w:rsid w:val="00F24844"/>
    <w:rsid w:val="00F24D75"/>
    <w:rsid w:val="00F270AE"/>
    <w:rsid w:val="00F27BDE"/>
    <w:rsid w:val="00F33D07"/>
    <w:rsid w:val="00F33DF5"/>
    <w:rsid w:val="00F3462E"/>
    <w:rsid w:val="00F3569E"/>
    <w:rsid w:val="00F3584D"/>
    <w:rsid w:val="00F35A45"/>
    <w:rsid w:val="00F35FBF"/>
    <w:rsid w:val="00F3669C"/>
    <w:rsid w:val="00F40058"/>
    <w:rsid w:val="00F40C0D"/>
    <w:rsid w:val="00F42120"/>
    <w:rsid w:val="00F42377"/>
    <w:rsid w:val="00F43CC4"/>
    <w:rsid w:val="00F43EE7"/>
    <w:rsid w:val="00F44473"/>
    <w:rsid w:val="00F45590"/>
    <w:rsid w:val="00F45A48"/>
    <w:rsid w:val="00F51900"/>
    <w:rsid w:val="00F51BE4"/>
    <w:rsid w:val="00F52D6F"/>
    <w:rsid w:val="00F540D8"/>
    <w:rsid w:val="00F56F49"/>
    <w:rsid w:val="00F57121"/>
    <w:rsid w:val="00F57A4C"/>
    <w:rsid w:val="00F6072E"/>
    <w:rsid w:val="00F61724"/>
    <w:rsid w:val="00F62986"/>
    <w:rsid w:val="00F64109"/>
    <w:rsid w:val="00F64B68"/>
    <w:rsid w:val="00F650E6"/>
    <w:rsid w:val="00F657B3"/>
    <w:rsid w:val="00F6788D"/>
    <w:rsid w:val="00F71D68"/>
    <w:rsid w:val="00F7521A"/>
    <w:rsid w:val="00F762B7"/>
    <w:rsid w:val="00F80C3C"/>
    <w:rsid w:val="00F81202"/>
    <w:rsid w:val="00F8452F"/>
    <w:rsid w:val="00F878A0"/>
    <w:rsid w:val="00F91C84"/>
    <w:rsid w:val="00F930BC"/>
    <w:rsid w:val="00F93129"/>
    <w:rsid w:val="00F9347B"/>
    <w:rsid w:val="00F93FB2"/>
    <w:rsid w:val="00F956F8"/>
    <w:rsid w:val="00FA18B2"/>
    <w:rsid w:val="00FA2B35"/>
    <w:rsid w:val="00FA5A3F"/>
    <w:rsid w:val="00FA7881"/>
    <w:rsid w:val="00FA7983"/>
    <w:rsid w:val="00FA798F"/>
    <w:rsid w:val="00FB0419"/>
    <w:rsid w:val="00FB2E23"/>
    <w:rsid w:val="00FB2F25"/>
    <w:rsid w:val="00FB372D"/>
    <w:rsid w:val="00FB47EA"/>
    <w:rsid w:val="00FB4A7E"/>
    <w:rsid w:val="00FB51B0"/>
    <w:rsid w:val="00FB7E82"/>
    <w:rsid w:val="00FC1D8C"/>
    <w:rsid w:val="00FC279B"/>
    <w:rsid w:val="00FC3C97"/>
    <w:rsid w:val="00FC480B"/>
    <w:rsid w:val="00FC4B27"/>
    <w:rsid w:val="00FD00E4"/>
    <w:rsid w:val="00FD1655"/>
    <w:rsid w:val="00FD19A1"/>
    <w:rsid w:val="00FD19CB"/>
    <w:rsid w:val="00FD2187"/>
    <w:rsid w:val="00FD2539"/>
    <w:rsid w:val="00FD4444"/>
    <w:rsid w:val="00FD479D"/>
    <w:rsid w:val="00FD4F01"/>
    <w:rsid w:val="00FD59FA"/>
    <w:rsid w:val="00FD5B02"/>
    <w:rsid w:val="00FD655F"/>
    <w:rsid w:val="00FD6CA9"/>
    <w:rsid w:val="00FE01B9"/>
    <w:rsid w:val="00FE0CDD"/>
    <w:rsid w:val="00FE165E"/>
    <w:rsid w:val="00FE25AF"/>
    <w:rsid w:val="00FE27E5"/>
    <w:rsid w:val="00FE2CE7"/>
    <w:rsid w:val="00FE3953"/>
    <w:rsid w:val="00FE64E6"/>
    <w:rsid w:val="00FE7001"/>
    <w:rsid w:val="00FF1A6E"/>
    <w:rsid w:val="00FF1C91"/>
    <w:rsid w:val="00FF2F5B"/>
    <w:rsid w:val="00FF3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0302EA"/>
  <w15:docId w15:val="{E22EA533-27A6-45F9-9FBA-958F1D8E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82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F4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52235"/>
    <w:pPr>
      <w:tabs>
        <w:tab w:val="center" w:pos="4677"/>
        <w:tab w:val="right" w:pos="9355"/>
      </w:tabs>
    </w:pPr>
  </w:style>
  <w:style w:type="character" w:customStyle="1" w:styleId="a5">
    <w:name w:val="Нижний колонтитул Знак"/>
    <w:link w:val="a4"/>
    <w:uiPriority w:val="99"/>
    <w:semiHidden/>
    <w:rsid w:val="00611252"/>
    <w:rPr>
      <w:lang w:eastAsia="en-US"/>
    </w:rPr>
  </w:style>
  <w:style w:type="character" w:styleId="a6">
    <w:name w:val="page number"/>
    <w:uiPriority w:val="99"/>
    <w:rsid w:val="00052235"/>
    <w:rPr>
      <w:rFonts w:cs="Times New Roman"/>
    </w:rPr>
  </w:style>
  <w:style w:type="paragraph" w:styleId="a7">
    <w:name w:val="List Paragraph"/>
    <w:basedOn w:val="a"/>
    <w:uiPriority w:val="34"/>
    <w:qFormat/>
    <w:rsid w:val="00376BE2"/>
    <w:pPr>
      <w:ind w:left="720"/>
      <w:contextualSpacing/>
    </w:pPr>
  </w:style>
  <w:style w:type="paragraph" w:customStyle="1" w:styleId="Default">
    <w:name w:val="Default"/>
    <w:rsid w:val="00402EA5"/>
    <w:pPr>
      <w:autoSpaceDE w:val="0"/>
      <w:autoSpaceDN w:val="0"/>
      <w:adjustRightInd w:val="0"/>
    </w:pPr>
    <w:rPr>
      <w:rFonts w:ascii="Times New Roman" w:hAnsi="Times New Roman"/>
      <w:color w:val="000000"/>
      <w:sz w:val="24"/>
      <w:szCs w:val="24"/>
      <w:lang w:eastAsia="en-US"/>
    </w:rPr>
  </w:style>
  <w:style w:type="paragraph" w:styleId="a8">
    <w:name w:val="Balloon Text"/>
    <w:basedOn w:val="a"/>
    <w:link w:val="a9"/>
    <w:uiPriority w:val="99"/>
    <w:semiHidden/>
    <w:unhideWhenUsed/>
    <w:rsid w:val="0099441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9441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3129</Words>
  <Characters>21225</Characters>
  <Application>Microsoft Office Word</Application>
  <DocSecurity>0</DocSecurity>
  <Lines>176</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24306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Волковец Татьяна Федоровна</dc:creator>
  <cp:keywords/>
  <dc:description/>
  <cp:lastModifiedBy>Egorova</cp:lastModifiedBy>
  <cp:revision>9</cp:revision>
  <cp:lastPrinted>2018-10-03T15:22:00Z</cp:lastPrinted>
  <dcterms:created xsi:type="dcterms:W3CDTF">2019-10-03T07:35:00Z</dcterms:created>
  <dcterms:modified xsi:type="dcterms:W3CDTF">2019-10-03T08:57:00Z</dcterms:modified>
</cp:coreProperties>
</file>