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DC4A" w14:textId="212A4935" w:rsidR="00540B6E" w:rsidRDefault="00540B6E" w:rsidP="00854DF2">
      <w:pPr>
        <w:autoSpaceDE w:val="0"/>
        <w:autoSpaceDN w:val="0"/>
        <w:adjustRightInd w:val="0"/>
        <w:spacing w:after="0" w:line="360" w:lineRule="auto"/>
        <w:ind w:firstLine="567"/>
        <w:jc w:val="both"/>
        <w:rPr>
          <w:rFonts w:ascii="Times New Roman" w:hAnsi="Times New Roman"/>
          <w:sz w:val="24"/>
          <w:szCs w:val="24"/>
        </w:rPr>
      </w:pPr>
      <w:bookmarkStart w:id="0" w:name="_GoBack"/>
      <w:bookmarkEnd w:id="0"/>
      <w:r w:rsidRPr="00012A90">
        <w:rPr>
          <w:rFonts w:ascii="Times New Roman" w:hAnsi="Times New Roman"/>
          <w:sz w:val="24"/>
          <w:szCs w:val="24"/>
        </w:rPr>
        <w:t xml:space="preserve">Настоящий </w:t>
      </w:r>
      <w:r w:rsidR="00854DF2">
        <w:rPr>
          <w:rFonts w:ascii="Times New Roman" w:hAnsi="Times New Roman"/>
          <w:sz w:val="24"/>
          <w:szCs w:val="24"/>
        </w:rPr>
        <w:t>С</w:t>
      </w:r>
      <w:r w:rsidRPr="00012A90">
        <w:rPr>
          <w:rFonts w:ascii="Times New Roman" w:hAnsi="Times New Roman"/>
          <w:sz w:val="24"/>
          <w:szCs w:val="24"/>
        </w:rPr>
        <w:t xml:space="preserve">тандарт совершения операций на финансовом рынке членами саморегулируемых организаций в сфере финансового рынка, объединяющих </w:t>
      </w:r>
      <w:r w:rsidR="007210E8">
        <w:rPr>
          <w:rFonts w:ascii="Times New Roman" w:hAnsi="Times New Roman"/>
          <w:sz w:val="24"/>
          <w:szCs w:val="24"/>
        </w:rPr>
        <w:t>инвестиционных советников</w:t>
      </w:r>
      <w:r w:rsidRPr="00012A90">
        <w:rPr>
          <w:rFonts w:ascii="Times New Roman" w:hAnsi="Times New Roman"/>
          <w:sz w:val="24"/>
          <w:szCs w:val="24"/>
        </w:rPr>
        <w:t xml:space="preserve">, разработан на основании части </w:t>
      </w:r>
      <w:r w:rsidR="00854DF2">
        <w:rPr>
          <w:rFonts w:ascii="Times New Roman" w:hAnsi="Times New Roman"/>
          <w:sz w:val="24"/>
          <w:szCs w:val="24"/>
        </w:rPr>
        <w:t>1</w:t>
      </w:r>
      <w:r w:rsidRPr="00012A90">
        <w:rPr>
          <w:rFonts w:ascii="Times New Roman" w:hAnsi="Times New Roman"/>
          <w:sz w:val="24"/>
          <w:szCs w:val="24"/>
        </w:rPr>
        <w:t xml:space="preserve"> статьи 5 Федерального закона от 13 июля 2015 года №223-ФЗ «О саморегулируемых организациях в сфере финансового рынка» устанавливает требования </w:t>
      </w:r>
      <w:r w:rsidR="00CF0079">
        <w:rPr>
          <w:rFonts w:ascii="Times New Roman" w:hAnsi="Times New Roman"/>
          <w:sz w:val="24"/>
          <w:szCs w:val="24"/>
        </w:rPr>
        <w:t>в отношении</w:t>
      </w:r>
      <w:r w:rsidRPr="00012A90">
        <w:rPr>
          <w:rFonts w:ascii="Times New Roman" w:hAnsi="Times New Roman"/>
          <w:sz w:val="24"/>
          <w:szCs w:val="24"/>
        </w:rPr>
        <w:t xml:space="preserve"> </w:t>
      </w:r>
      <w:r w:rsidR="007210E8">
        <w:rPr>
          <w:rFonts w:ascii="Times New Roman" w:hAnsi="Times New Roman"/>
          <w:sz w:val="24"/>
          <w:szCs w:val="24"/>
        </w:rPr>
        <w:t xml:space="preserve">оказания </w:t>
      </w:r>
      <w:r w:rsidR="00F368A8" w:rsidRPr="00F368A8">
        <w:rPr>
          <w:rFonts w:ascii="Times New Roman" w:hAnsi="Times New Roman"/>
          <w:sz w:val="24"/>
          <w:szCs w:val="24"/>
        </w:rPr>
        <w:t>консультационных услуг в отношении ценных бумаг, сделок с ними и (или) заключения договоров, являющихся производными финансовыми инструментами, путем предоставления индивидуальных инвестиционных рекомендаций</w:t>
      </w:r>
      <w:r w:rsidR="00F368A8">
        <w:rPr>
          <w:rFonts w:ascii="Times New Roman" w:hAnsi="Times New Roman"/>
          <w:sz w:val="24"/>
          <w:szCs w:val="24"/>
        </w:rPr>
        <w:t xml:space="preserve"> </w:t>
      </w:r>
      <w:r w:rsidRPr="00012A90">
        <w:rPr>
          <w:rFonts w:ascii="Times New Roman" w:hAnsi="Times New Roman"/>
          <w:sz w:val="24"/>
          <w:szCs w:val="24"/>
        </w:rPr>
        <w:t>(далее – Стандарт).</w:t>
      </w:r>
    </w:p>
    <w:p w14:paraId="111B637E" w14:textId="77777777" w:rsidR="00B3164C" w:rsidRDefault="00B3164C" w:rsidP="00854DF2">
      <w:pPr>
        <w:autoSpaceDE w:val="0"/>
        <w:autoSpaceDN w:val="0"/>
        <w:adjustRightInd w:val="0"/>
        <w:spacing w:after="0" w:line="360" w:lineRule="auto"/>
        <w:ind w:firstLine="567"/>
        <w:jc w:val="both"/>
        <w:rPr>
          <w:rFonts w:ascii="Times New Roman" w:hAnsi="Times New Roman"/>
          <w:sz w:val="24"/>
          <w:szCs w:val="24"/>
        </w:rPr>
      </w:pPr>
    </w:p>
    <w:p w14:paraId="56AE20E2" w14:textId="7DBD486E" w:rsidR="00897874" w:rsidRPr="00897874" w:rsidRDefault="00897874" w:rsidP="00854DF2">
      <w:pPr>
        <w:autoSpaceDE w:val="0"/>
        <w:autoSpaceDN w:val="0"/>
        <w:adjustRightInd w:val="0"/>
        <w:spacing w:after="0" w:line="360" w:lineRule="auto"/>
        <w:ind w:firstLine="567"/>
        <w:jc w:val="both"/>
        <w:rPr>
          <w:rFonts w:ascii="Times New Roman" w:hAnsi="Times New Roman"/>
          <w:b/>
          <w:sz w:val="24"/>
          <w:szCs w:val="24"/>
        </w:rPr>
      </w:pPr>
      <w:r w:rsidRPr="00897874">
        <w:rPr>
          <w:rFonts w:ascii="Times New Roman" w:hAnsi="Times New Roman"/>
          <w:b/>
          <w:sz w:val="24"/>
          <w:szCs w:val="24"/>
          <w:lang w:val="en-US"/>
        </w:rPr>
        <w:t>I</w:t>
      </w:r>
      <w:r w:rsidRPr="00B63E07">
        <w:rPr>
          <w:rFonts w:ascii="Times New Roman" w:hAnsi="Times New Roman"/>
          <w:b/>
          <w:sz w:val="24"/>
          <w:szCs w:val="24"/>
        </w:rPr>
        <w:t>.</w:t>
      </w:r>
      <w:r w:rsidRPr="00B63E07">
        <w:rPr>
          <w:rFonts w:ascii="Times New Roman" w:hAnsi="Times New Roman"/>
          <w:b/>
          <w:sz w:val="24"/>
          <w:szCs w:val="24"/>
        </w:rPr>
        <w:tab/>
      </w:r>
      <w:r w:rsidRPr="00897874">
        <w:rPr>
          <w:rFonts w:ascii="Times New Roman" w:hAnsi="Times New Roman"/>
          <w:b/>
          <w:sz w:val="24"/>
          <w:szCs w:val="24"/>
        </w:rPr>
        <w:tab/>
        <w:t>ОБЩИЕ ПОЛОЖЕНИЯ</w:t>
      </w:r>
    </w:p>
    <w:p w14:paraId="46D5DC0C" w14:textId="4547DA3D" w:rsidR="00CF7560" w:rsidRDefault="00540B6E" w:rsidP="00854DF2">
      <w:pPr>
        <w:autoSpaceDE w:val="0"/>
        <w:autoSpaceDN w:val="0"/>
        <w:adjustRightInd w:val="0"/>
        <w:spacing w:after="0" w:line="360" w:lineRule="auto"/>
        <w:ind w:firstLine="567"/>
        <w:jc w:val="both"/>
        <w:rPr>
          <w:rFonts w:ascii="Times New Roman" w:hAnsi="Times New Roman"/>
          <w:sz w:val="24"/>
          <w:szCs w:val="24"/>
        </w:rPr>
      </w:pPr>
      <w:r w:rsidRPr="00012A90">
        <w:rPr>
          <w:rFonts w:ascii="Times New Roman" w:hAnsi="Times New Roman"/>
          <w:sz w:val="24"/>
          <w:szCs w:val="24"/>
        </w:rPr>
        <w:t>1.</w:t>
      </w:r>
      <w:r w:rsidR="00897874">
        <w:rPr>
          <w:rFonts w:ascii="Times New Roman" w:hAnsi="Times New Roman"/>
          <w:sz w:val="24"/>
          <w:szCs w:val="24"/>
        </w:rPr>
        <w:t>1.</w:t>
      </w:r>
      <w:r w:rsidR="00897874">
        <w:rPr>
          <w:rFonts w:ascii="Times New Roman" w:hAnsi="Times New Roman"/>
          <w:sz w:val="24"/>
          <w:szCs w:val="24"/>
        </w:rPr>
        <w:tab/>
      </w:r>
      <w:r w:rsidRPr="00012A90">
        <w:rPr>
          <w:rFonts w:ascii="Times New Roman" w:hAnsi="Times New Roman"/>
          <w:sz w:val="24"/>
          <w:szCs w:val="24"/>
        </w:rPr>
        <w:t xml:space="preserve">Настоящий Стандарт </w:t>
      </w:r>
      <w:r w:rsidR="004A6B89">
        <w:rPr>
          <w:rFonts w:ascii="Times New Roman" w:hAnsi="Times New Roman"/>
          <w:sz w:val="24"/>
          <w:szCs w:val="24"/>
        </w:rPr>
        <w:t>применяется</w:t>
      </w:r>
      <w:r w:rsidRPr="00012A90">
        <w:rPr>
          <w:rFonts w:ascii="Times New Roman" w:hAnsi="Times New Roman"/>
          <w:sz w:val="24"/>
          <w:szCs w:val="24"/>
        </w:rPr>
        <w:t xml:space="preserve"> </w:t>
      </w:r>
      <w:r w:rsidR="004A6B89">
        <w:rPr>
          <w:rFonts w:ascii="Times New Roman" w:hAnsi="Times New Roman"/>
          <w:sz w:val="24"/>
          <w:szCs w:val="24"/>
        </w:rPr>
        <w:t>к</w:t>
      </w:r>
      <w:r w:rsidR="00BC78B9">
        <w:rPr>
          <w:rFonts w:ascii="Times New Roman" w:hAnsi="Times New Roman"/>
          <w:sz w:val="24"/>
          <w:szCs w:val="24"/>
        </w:rPr>
        <w:t xml:space="preserve"> </w:t>
      </w:r>
      <w:r w:rsidR="00F368A8">
        <w:rPr>
          <w:rFonts w:ascii="Times New Roman" w:hAnsi="Times New Roman"/>
          <w:sz w:val="24"/>
          <w:szCs w:val="24"/>
        </w:rPr>
        <w:t>отношениям между инвестиционными советниками и</w:t>
      </w:r>
      <w:r w:rsidR="00897874">
        <w:rPr>
          <w:rFonts w:ascii="Times New Roman" w:hAnsi="Times New Roman"/>
          <w:sz w:val="24"/>
          <w:szCs w:val="24"/>
        </w:rPr>
        <w:t>х Клиентами в рамках оказания услуг по договору об инвестиционном консультировании</w:t>
      </w:r>
      <w:r w:rsidRPr="004A6B89">
        <w:rPr>
          <w:rFonts w:ascii="Times New Roman" w:hAnsi="Times New Roman"/>
          <w:sz w:val="24"/>
          <w:szCs w:val="24"/>
        </w:rPr>
        <w:t>.</w:t>
      </w:r>
      <w:r w:rsidR="00AF56F6">
        <w:rPr>
          <w:rFonts w:ascii="Times New Roman" w:hAnsi="Times New Roman"/>
          <w:sz w:val="24"/>
          <w:szCs w:val="24"/>
        </w:rPr>
        <w:t xml:space="preserve"> </w:t>
      </w:r>
      <w:r w:rsidR="00422E18">
        <w:rPr>
          <w:rFonts w:ascii="Times New Roman" w:hAnsi="Times New Roman"/>
          <w:sz w:val="24"/>
          <w:szCs w:val="24"/>
        </w:rPr>
        <w:t xml:space="preserve">Настоящий Стандарт не применяется </w:t>
      </w:r>
      <w:r w:rsidR="00F368A8">
        <w:rPr>
          <w:rFonts w:ascii="Times New Roman" w:hAnsi="Times New Roman"/>
          <w:sz w:val="24"/>
          <w:szCs w:val="24"/>
        </w:rPr>
        <w:t>к отношениям между Финансовыми организациями, в том числе в случаях, когда одна или обе Финансовые организации являются инвестиционными советниками</w:t>
      </w:r>
      <w:r w:rsidR="00422E18">
        <w:rPr>
          <w:rFonts w:ascii="Times New Roman" w:hAnsi="Times New Roman"/>
          <w:sz w:val="24"/>
          <w:szCs w:val="24"/>
        </w:rPr>
        <w:t>.</w:t>
      </w:r>
    </w:p>
    <w:p w14:paraId="1567980C" w14:textId="77909364" w:rsidR="00540B6E" w:rsidRPr="00012A90" w:rsidRDefault="00897874"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w:t>
      </w:r>
      <w:r w:rsidR="0014289F">
        <w:rPr>
          <w:rFonts w:ascii="Times New Roman" w:hAnsi="Times New Roman"/>
          <w:sz w:val="24"/>
          <w:szCs w:val="24"/>
        </w:rPr>
        <w:t>2.</w:t>
      </w:r>
      <w:r>
        <w:rPr>
          <w:rFonts w:ascii="Times New Roman" w:hAnsi="Times New Roman"/>
          <w:sz w:val="24"/>
          <w:szCs w:val="24"/>
        </w:rPr>
        <w:tab/>
      </w:r>
      <w:r w:rsidR="00540B6E" w:rsidRPr="00012A90">
        <w:rPr>
          <w:rFonts w:ascii="Times New Roman" w:hAnsi="Times New Roman"/>
          <w:sz w:val="24"/>
          <w:szCs w:val="24"/>
        </w:rPr>
        <w:t xml:space="preserve">Термины используются </w:t>
      </w:r>
      <w:r w:rsidR="00E2784C">
        <w:rPr>
          <w:rFonts w:ascii="Times New Roman" w:hAnsi="Times New Roman"/>
          <w:sz w:val="24"/>
          <w:szCs w:val="24"/>
        </w:rPr>
        <w:t>в</w:t>
      </w:r>
      <w:r w:rsidR="00540B6E" w:rsidRPr="00012A90">
        <w:rPr>
          <w:rFonts w:ascii="Times New Roman" w:hAnsi="Times New Roman"/>
          <w:sz w:val="24"/>
          <w:szCs w:val="24"/>
        </w:rPr>
        <w:t xml:space="preserve"> настоящем Стандарте в следующих значениях:</w:t>
      </w:r>
    </w:p>
    <w:p w14:paraId="708C3DEF" w14:textId="3157AB42" w:rsidR="00897874" w:rsidRDefault="00897874" w:rsidP="00854DF2">
      <w:pPr>
        <w:autoSpaceDE w:val="0"/>
        <w:autoSpaceDN w:val="0"/>
        <w:adjustRightInd w:val="0"/>
        <w:spacing w:after="0" w:line="360" w:lineRule="auto"/>
        <w:ind w:firstLine="567"/>
        <w:jc w:val="both"/>
        <w:rPr>
          <w:rFonts w:ascii="Times New Roman" w:hAnsi="Times New Roman"/>
          <w:sz w:val="24"/>
          <w:szCs w:val="24"/>
        </w:rPr>
      </w:pPr>
      <w:r w:rsidRPr="00854DF2">
        <w:rPr>
          <w:rFonts w:ascii="Times New Roman" w:hAnsi="Times New Roman"/>
          <w:i/>
          <w:sz w:val="24"/>
          <w:szCs w:val="24"/>
        </w:rPr>
        <w:t>Клиент</w:t>
      </w:r>
      <w:r>
        <w:rPr>
          <w:rFonts w:ascii="Times New Roman" w:hAnsi="Times New Roman"/>
          <w:sz w:val="24"/>
          <w:szCs w:val="24"/>
        </w:rPr>
        <w:t xml:space="preserve"> - физическое лицо или юридическое лицо, не являющееся Финансовой организацией, заключившее с инвестиционным советником договор об инвестиционном консультировании.</w:t>
      </w:r>
    </w:p>
    <w:p w14:paraId="446292E1" w14:textId="21A139B2" w:rsidR="00897874" w:rsidRDefault="00897874" w:rsidP="00854DF2">
      <w:pPr>
        <w:autoSpaceDE w:val="0"/>
        <w:autoSpaceDN w:val="0"/>
        <w:adjustRightInd w:val="0"/>
        <w:spacing w:after="0" w:line="360" w:lineRule="auto"/>
        <w:ind w:firstLine="567"/>
        <w:jc w:val="both"/>
        <w:rPr>
          <w:rFonts w:ascii="Times New Roman" w:hAnsi="Times New Roman"/>
          <w:sz w:val="24"/>
          <w:szCs w:val="24"/>
        </w:rPr>
      </w:pPr>
      <w:r w:rsidRPr="00854DF2">
        <w:rPr>
          <w:rFonts w:ascii="Times New Roman" w:hAnsi="Times New Roman"/>
          <w:i/>
          <w:sz w:val="24"/>
          <w:szCs w:val="24"/>
        </w:rPr>
        <w:t>Общая информация о финансовом инструменте</w:t>
      </w:r>
      <w:r>
        <w:rPr>
          <w:rFonts w:ascii="Times New Roman" w:hAnsi="Times New Roman"/>
          <w:sz w:val="24"/>
          <w:szCs w:val="24"/>
        </w:rPr>
        <w:t xml:space="preserve"> – сведения о ценной бумаге, сделке с ценной бумагой или договоре, являющемся производным финансовым инструментом, предоставление которой не составляет индивидуальную инвестиционную рекомендацию.</w:t>
      </w:r>
    </w:p>
    <w:p w14:paraId="0B51D241" w14:textId="3D0A04AF" w:rsidR="00897874" w:rsidRDefault="00897874" w:rsidP="00854DF2">
      <w:pPr>
        <w:autoSpaceDE w:val="0"/>
        <w:autoSpaceDN w:val="0"/>
        <w:adjustRightInd w:val="0"/>
        <w:spacing w:after="0" w:line="360" w:lineRule="auto"/>
        <w:ind w:firstLine="567"/>
        <w:jc w:val="both"/>
        <w:rPr>
          <w:rFonts w:ascii="Times New Roman" w:hAnsi="Times New Roman"/>
          <w:sz w:val="24"/>
          <w:szCs w:val="24"/>
        </w:rPr>
      </w:pPr>
      <w:r w:rsidRPr="00854DF2">
        <w:rPr>
          <w:rFonts w:ascii="Times New Roman" w:hAnsi="Times New Roman"/>
          <w:i/>
          <w:sz w:val="24"/>
          <w:szCs w:val="24"/>
        </w:rPr>
        <w:t>Риск</w:t>
      </w:r>
      <w:r>
        <w:rPr>
          <w:rFonts w:ascii="Times New Roman" w:hAnsi="Times New Roman"/>
          <w:sz w:val="24"/>
          <w:szCs w:val="24"/>
        </w:rPr>
        <w:t xml:space="preserve"> – вероятность возникновения у Клиента имущественных потерь в связи с заключением или незаключением сделки в соответствии с индивидуальной инвестиционной рекомендацией.</w:t>
      </w:r>
    </w:p>
    <w:p w14:paraId="5637292F" w14:textId="271DF628" w:rsidR="00CF0079" w:rsidRDefault="00CF0079" w:rsidP="00854DF2">
      <w:pPr>
        <w:autoSpaceDE w:val="0"/>
        <w:autoSpaceDN w:val="0"/>
        <w:adjustRightInd w:val="0"/>
        <w:spacing w:after="0" w:line="360" w:lineRule="auto"/>
        <w:ind w:firstLine="567"/>
        <w:jc w:val="both"/>
        <w:rPr>
          <w:rFonts w:ascii="Times New Roman" w:hAnsi="Times New Roman"/>
          <w:sz w:val="24"/>
          <w:szCs w:val="24"/>
        </w:rPr>
      </w:pPr>
      <w:r w:rsidRPr="00854DF2">
        <w:rPr>
          <w:rFonts w:ascii="Times New Roman" w:hAnsi="Times New Roman"/>
          <w:i/>
          <w:sz w:val="24"/>
          <w:szCs w:val="24"/>
        </w:rPr>
        <w:t>Финансовая организация</w:t>
      </w:r>
      <w:r w:rsidRPr="004A6B89">
        <w:rPr>
          <w:rFonts w:ascii="Times New Roman" w:hAnsi="Times New Roman"/>
          <w:sz w:val="24"/>
          <w:szCs w:val="24"/>
        </w:rPr>
        <w:t xml:space="preserve"> –</w:t>
      </w:r>
      <w:r>
        <w:rPr>
          <w:rFonts w:ascii="Times New Roman" w:hAnsi="Times New Roman"/>
          <w:sz w:val="24"/>
          <w:szCs w:val="24"/>
        </w:rPr>
        <w:t xml:space="preserve"> </w:t>
      </w:r>
      <w:r w:rsidR="000F7314">
        <w:rPr>
          <w:rFonts w:ascii="Times New Roman" w:hAnsi="Times New Roman"/>
          <w:sz w:val="24"/>
          <w:szCs w:val="24"/>
        </w:rPr>
        <w:t xml:space="preserve">кредитная организация, </w:t>
      </w:r>
      <w:r w:rsidRPr="004A6B89">
        <w:rPr>
          <w:rFonts w:ascii="Times New Roman" w:hAnsi="Times New Roman"/>
          <w:sz w:val="24"/>
          <w:szCs w:val="24"/>
        </w:rPr>
        <w:t>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w:t>
      </w:r>
      <w:r>
        <w:rPr>
          <w:rFonts w:ascii="Times New Roman" w:hAnsi="Times New Roman"/>
          <w:sz w:val="24"/>
          <w:szCs w:val="24"/>
        </w:rPr>
        <w:t>осударственный пенсионный фонд.</w:t>
      </w:r>
    </w:p>
    <w:p w14:paraId="2717D4A4" w14:textId="61EF2D75" w:rsidR="00B867F9" w:rsidRPr="00B867F9" w:rsidRDefault="000F7314"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Термины, специально не определенные по тексту Стандарта, применяются в значении, определенном </w:t>
      </w:r>
      <w:r w:rsidR="007924CC">
        <w:rPr>
          <w:rFonts w:ascii="Times New Roman" w:hAnsi="Times New Roman"/>
          <w:sz w:val="24"/>
          <w:szCs w:val="24"/>
        </w:rPr>
        <w:t xml:space="preserve">Федеральным законом </w:t>
      </w:r>
      <w:r w:rsidR="00B867F9" w:rsidRPr="00B867F9">
        <w:rPr>
          <w:rFonts w:ascii="Times New Roman" w:hAnsi="Times New Roman"/>
          <w:sz w:val="24"/>
          <w:szCs w:val="24"/>
        </w:rPr>
        <w:t xml:space="preserve">от 22.04.1996 </w:t>
      </w:r>
      <w:r w:rsidR="00B867F9">
        <w:rPr>
          <w:rFonts w:ascii="Times New Roman" w:hAnsi="Times New Roman"/>
          <w:sz w:val="24"/>
          <w:szCs w:val="24"/>
        </w:rPr>
        <w:t>№</w:t>
      </w:r>
      <w:r w:rsidR="00B867F9" w:rsidRPr="00B867F9">
        <w:rPr>
          <w:rFonts w:ascii="Times New Roman" w:hAnsi="Times New Roman"/>
          <w:sz w:val="24"/>
          <w:szCs w:val="24"/>
        </w:rPr>
        <w:t xml:space="preserve"> 39-ФЗ</w:t>
      </w:r>
      <w:r w:rsidR="00B867F9">
        <w:rPr>
          <w:rFonts w:ascii="Times New Roman" w:hAnsi="Times New Roman"/>
          <w:sz w:val="24"/>
          <w:szCs w:val="24"/>
        </w:rPr>
        <w:t xml:space="preserve"> «О рынке ценных бумаг» </w:t>
      </w:r>
      <w:r w:rsidR="00071925">
        <w:rPr>
          <w:rFonts w:ascii="Times New Roman" w:hAnsi="Times New Roman"/>
          <w:sz w:val="24"/>
          <w:szCs w:val="24"/>
        </w:rPr>
        <w:t>и принятыми в соответствии с ним подзаконными нормативными правовыми актами</w:t>
      </w:r>
      <w:r w:rsidR="00854DF2">
        <w:rPr>
          <w:rFonts w:ascii="Times New Roman" w:hAnsi="Times New Roman"/>
          <w:sz w:val="24"/>
          <w:szCs w:val="24"/>
        </w:rPr>
        <w:t>, а также иным законодательством Российской Федерации</w:t>
      </w:r>
      <w:r w:rsidR="00071925">
        <w:rPr>
          <w:rFonts w:ascii="Times New Roman" w:hAnsi="Times New Roman"/>
          <w:sz w:val="24"/>
          <w:szCs w:val="24"/>
        </w:rPr>
        <w:t>.</w:t>
      </w:r>
    </w:p>
    <w:p w14:paraId="798CBC3A" w14:textId="5CB3B0B5" w:rsidR="000F7314"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lastRenderedPageBreak/>
        <w:t>1.3. Целью утверждения настоящего Стандарта является содействие:</w:t>
      </w:r>
    </w:p>
    <w:p w14:paraId="0073603D" w14:textId="4D0D9BB0"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повышению качества услуг, оказываемых инвестиционными советниками;</w:t>
      </w:r>
    </w:p>
    <w:p w14:paraId="15A20E8F" w14:textId="4A6A1309"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t>обеспечению информационной открытости рынка услуг по инвестиционному консультированию на российском финансовом рынке;</w:t>
      </w:r>
    </w:p>
    <w:p w14:paraId="222040FE" w14:textId="288F3DBA"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t>защите прав и законных интересов Клиентов, а также предотвращению злоупотреблений как со стороны Клиентов, так и со стороны инвестиционных советников;</w:t>
      </w:r>
    </w:p>
    <w:p w14:paraId="553D37B7" w14:textId="1C488879"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t>повышению уровня информированности Клиентов о содержании оказываемых им услуг;</w:t>
      </w:r>
    </w:p>
    <w:p w14:paraId="1A828582" w14:textId="25A83EEF"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t>популяризации продуктов и услуг финансового рынка среди граждан и организаций нефинансового сектора.</w:t>
      </w:r>
    </w:p>
    <w:p w14:paraId="01CD4B54" w14:textId="77777777" w:rsidR="001D0CF2" w:rsidRDefault="001D0CF2" w:rsidP="00854DF2">
      <w:pPr>
        <w:autoSpaceDE w:val="0"/>
        <w:autoSpaceDN w:val="0"/>
        <w:adjustRightInd w:val="0"/>
        <w:spacing w:after="0" w:line="360" w:lineRule="auto"/>
        <w:ind w:firstLine="567"/>
        <w:jc w:val="both"/>
        <w:rPr>
          <w:rFonts w:ascii="Times New Roman" w:hAnsi="Times New Roman"/>
          <w:sz w:val="24"/>
          <w:szCs w:val="24"/>
        </w:rPr>
      </w:pPr>
    </w:p>
    <w:p w14:paraId="5749C756" w14:textId="280ED2E4" w:rsidR="00E2784C" w:rsidRPr="00B63E07" w:rsidRDefault="00B3164C" w:rsidP="00854DF2">
      <w:pPr>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sz w:val="24"/>
          <w:szCs w:val="24"/>
          <w:lang w:val="en-US"/>
        </w:rPr>
        <w:t>II</w:t>
      </w:r>
      <w:r w:rsidRPr="00B63E07">
        <w:rPr>
          <w:rFonts w:ascii="Times New Roman" w:hAnsi="Times New Roman"/>
          <w:b/>
          <w:sz w:val="24"/>
          <w:szCs w:val="24"/>
        </w:rPr>
        <w:t>.</w:t>
      </w:r>
      <w:r w:rsidRPr="00B63E07">
        <w:rPr>
          <w:rFonts w:ascii="Times New Roman" w:hAnsi="Times New Roman"/>
          <w:b/>
          <w:sz w:val="24"/>
          <w:szCs w:val="24"/>
        </w:rPr>
        <w:tab/>
        <w:t>ОСНОВНЫЕ ПРИНЦИПЫ</w:t>
      </w:r>
    </w:p>
    <w:p w14:paraId="3A9901D7" w14:textId="2D9D6536" w:rsidR="00E2784C" w:rsidRDefault="00E278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При осуществлении деятельности по инвестиционному консультированию инвестиционный советник руководствуется следующими основными принципами:</w:t>
      </w:r>
    </w:p>
    <w:p w14:paraId="26C9FA8B" w14:textId="3C567AAD" w:rsidR="00E2784C" w:rsidRDefault="007B5D5D"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Принцип информационной открытости. Инвестиционный советник обязан разумно доступными способами удостовериться, что индивидуальная инвестиционная рекомендация предоставляется Клиенту на основании договора об инвестиционном консультировании, соответствует такому договору и инвестиционному профилю Клиента, положения такого договора разъяснены Клиенту, включая расходы, которые Клиент несет в соответствии с таким договором. Инвестиционный советник обязан отделять информацию, предоставляемую в качестве инвестиционного советника, от информации, предоставляемой в ином качестве</w:t>
      </w:r>
      <w:r w:rsidR="00B3164C">
        <w:rPr>
          <w:rFonts w:ascii="Times New Roman" w:hAnsi="Times New Roman"/>
          <w:sz w:val="24"/>
          <w:szCs w:val="24"/>
        </w:rPr>
        <w:t>, в том числе в качестве Общей информации о финансовом инструменте</w:t>
      </w:r>
      <w:r>
        <w:rPr>
          <w:rFonts w:ascii="Times New Roman" w:hAnsi="Times New Roman"/>
          <w:sz w:val="24"/>
          <w:szCs w:val="24"/>
        </w:rPr>
        <w:t>.</w:t>
      </w:r>
      <w:r w:rsidR="00B3164C">
        <w:rPr>
          <w:rFonts w:ascii="Times New Roman" w:hAnsi="Times New Roman"/>
          <w:sz w:val="24"/>
          <w:szCs w:val="24"/>
        </w:rPr>
        <w:t xml:space="preserve"> Для этого Клиенту предоставляется информационное сообщение в письменной или устной форме, рекомендованное содержание которого приведено в приложении </w:t>
      </w:r>
      <w:r w:rsidR="00B3164C" w:rsidRPr="00B63E07">
        <w:rPr>
          <w:rFonts w:ascii="Times New Roman" w:hAnsi="Times New Roman"/>
          <w:sz w:val="24"/>
          <w:szCs w:val="24"/>
        </w:rPr>
        <w:t>[</w:t>
      </w:r>
      <w:r w:rsidR="00B3164C" w:rsidRPr="00B76A8D">
        <w:rPr>
          <w:rFonts w:ascii="Wingdings" w:hAnsi="Wingdings"/>
          <w:color w:val="000000"/>
        </w:rPr>
        <w:t></w:t>
      </w:r>
      <w:r w:rsidR="00B3164C" w:rsidRPr="00B63E07">
        <w:rPr>
          <w:rFonts w:ascii="Times New Roman" w:hAnsi="Times New Roman"/>
          <w:sz w:val="24"/>
          <w:szCs w:val="24"/>
        </w:rPr>
        <w:t xml:space="preserve">] </w:t>
      </w:r>
      <w:r w:rsidR="00B3164C">
        <w:rPr>
          <w:rFonts w:ascii="Times New Roman" w:hAnsi="Times New Roman"/>
          <w:sz w:val="24"/>
          <w:szCs w:val="24"/>
        </w:rPr>
        <w:t xml:space="preserve">к Стандарту. Кроме того, инвестиционный советник обязан в прямой и недвусмысленной форме информировать Клиента о величине расходов, которые несет Клиент </w:t>
      </w:r>
      <w:r w:rsidR="00113EE2">
        <w:rPr>
          <w:rFonts w:ascii="Times New Roman" w:hAnsi="Times New Roman"/>
          <w:sz w:val="24"/>
          <w:szCs w:val="24"/>
        </w:rPr>
        <w:t xml:space="preserve">как </w:t>
      </w:r>
      <w:r w:rsidR="00B3164C">
        <w:rPr>
          <w:rFonts w:ascii="Times New Roman" w:hAnsi="Times New Roman"/>
          <w:sz w:val="24"/>
          <w:szCs w:val="24"/>
        </w:rPr>
        <w:t>в связи с получением индивидуальной инвестиционной рекомендацией</w:t>
      </w:r>
      <w:r w:rsidR="00113EE2">
        <w:rPr>
          <w:rFonts w:ascii="Times New Roman" w:hAnsi="Times New Roman"/>
          <w:sz w:val="24"/>
          <w:szCs w:val="24"/>
        </w:rPr>
        <w:t>, так и в связи с осуществлением действий, соответствующих предоставленной инвестиционным советником рекомендации</w:t>
      </w:r>
      <w:r w:rsidR="00B3164C">
        <w:rPr>
          <w:rFonts w:ascii="Times New Roman" w:hAnsi="Times New Roman"/>
          <w:sz w:val="24"/>
          <w:szCs w:val="24"/>
        </w:rPr>
        <w:t>.</w:t>
      </w:r>
      <w:r w:rsidR="00113EE2">
        <w:rPr>
          <w:rFonts w:ascii="Times New Roman" w:hAnsi="Times New Roman"/>
          <w:sz w:val="24"/>
          <w:szCs w:val="24"/>
        </w:rPr>
        <w:t xml:space="preserve"> Примерная форма предоставления Клиенту информации о расходах приведена в </w:t>
      </w:r>
      <w:r w:rsidR="00113EE2">
        <w:rPr>
          <w:rFonts w:ascii="Times New Roman" w:hAnsi="Times New Roman"/>
          <w:sz w:val="24"/>
          <w:szCs w:val="24"/>
        </w:rPr>
        <w:t xml:space="preserve">приложении </w:t>
      </w:r>
      <w:r w:rsidR="00113EE2" w:rsidRPr="00B63E07">
        <w:rPr>
          <w:rFonts w:ascii="Times New Roman" w:hAnsi="Times New Roman"/>
          <w:sz w:val="24"/>
          <w:szCs w:val="24"/>
        </w:rPr>
        <w:t>[</w:t>
      </w:r>
      <w:r w:rsidR="00113EE2" w:rsidRPr="00B76A8D">
        <w:rPr>
          <w:rFonts w:ascii="Wingdings" w:hAnsi="Wingdings"/>
          <w:color w:val="000000"/>
        </w:rPr>
        <w:t></w:t>
      </w:r>
      <w:r w:rsidR="00113EE2" w:rsidRPr="00B63E07">
        <w:rPr>
          <w:rFonts w:ascii="Times New Roman" w:hAnsi="Times New Roman"/>
          <w:sz w:val="24"/>
          <w:szCs w:val="24"/>
        </w:rPr>
        <w:t xml:space="preserve">] </w:t>
      </w:r>
      <w:r w:rsidR="00113EE2">
        <w:rPr>
          <w:rFonts w:ascii="Times New Roman" w:hAnsi="Times New Roman"/>
          <w:sz w:val="24"/>
          <w:szCs w:val="24"/>
        </w:rPr>
        <w:t>к Стандарту</w:t>
      </w:r>
      <w:r w:rsidR="00113EE2">
        <w:rPr>
          <w:rFonts w:ascii="Times New Roman" w:hAnsi="Times New Roman"/>
          <w:sz w:val="24"/>
          <w:szCs w:val="24"/>
        </w:rPr>
        <w:t>. Информация о расходах должна предоставляться Клиенту до или непосредственно в момент предоставления индивидуальной инвестиционной рекомендации.</w:t>
      </w:r>
    </w:p>
    <w:p w14:paraId="2D411D37" w14:textId="056CA1E3" w:rsidR="00B3164C" w:rsidRDefault="00B3164C"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2.1.2.</w:t>
      </w:r>
      <w:r>
        <w:rPr>
          <w:rFonts w:ascii="Times New Roman" w:hAnsi="Times New Roman"/>
          <w:sz w:val="24"/>
          <w:szCs w:val="24"/>
        </w:rPr>
        <w:tab/>
        <w:t xml:space="preserve">Принцип полноты. Индивидуальная инвестиционная рекомендация должна содержать всю необходимую информацию о финансовом инструменте и/или сделке с финансовым инструментом, предусмотренную требованиями действующего </w:t>
      </w:r>
      <w:r>
        <w:rPr>
          <w:rFonts w:ascii="Times New Roman" w:hAnsi="Times New Roman"/>
          <w:sz w:val="24"/>
          <w:szCs w:val="24"/>
        </w:rPr>
        <w:lastRenderedPageBreak/>
        <w:t>законодательства, нормативных актов Центрального банка Российской Федерации (Банка России) и настоящего Стандарта. Требования к индивидуальной инвестиционной рекомендации предъявляются вне зависимости от формы ее предоставления Клиенту. Не допускается предоставление индивидуальной инвестиционной рекомендации по частям</w:t>
      </w:r>
      <w:r w:rsidR="00194A30">
        <w:rPr>
          <w:rFonts w:ascii="Times New Roman" w:hAnsi="Times New Roman"/>
          <w:sz w:val="24"/>
          <w:szCs w:val="24"/>
        </w:rPr>
        <w:t>, в частности предоставление рекомендации в отношении финансового инструмента отдельно от Рисков.</w:t>
      </w:r>
    </w:p>
    <w:p w14:paraId="01BE87CE" w14:textId="74CA0377" w:rsidR="00194A30" w:rsidRDefault="00194A30"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t>Принцип опосредованности. Предоставляемая Клиенту индивидуальная инвестиционная рекомендация всегда предоставляется на основании информации, предоставленной Клиентом инвестиционному советнику, поэтому обуславливается, помимо разумно доступной инвестиционному советнику информации о финансовых инструментах и общей конъюнктуре финансового рынка, также информацией, предоставленной Клиентом и инвестиционным профилем Клиента.</w:t>
      </w:r>
    </w:p>
    <w:p w14:paraId="02B913AB" w14:textId="48AC4EBD" w:rsidR="00194A30" w:rsidRDefault="00194A30"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2.1.4.</w:t>
      </w:r>
      <w:r>
        <w:rPr>
          <w:rFonts w:ascii="Times New Roman" w:hAnsi="Times New Roman"/>
          <w:sz w:val="24"/>
          <w:szCs w:val="24"/>
        </w:rPr>
        <w:tab/>
        <w:t>Принцип достат</w:t>
      </w:r>
      <w:r w:rsidR="00F31B24">
        <w:rPr>
          <w:rFonts w:ascii="Times New Roman" w:hAnsi="Times New Roman"/>
          <w:sz w:val="24"/>
          <w:szCs w:val="24"/>
        </w:rPr>
        <w:t>очности. Предоставляемая</w:t>
      </w:r>
      <w:r>
        <w:rPr>
          <w:rFonts w:ascii="Times New Roman" w:hAnsi="Times New Roman"/>
          <w:sz w:val="24"/>
          <w:szCs w:val="24"/>
        </w:rPr>
        <w:t xml:space="preserve"> индивидуальная инвестиционная рекомендация должна позволять </w:t>
      </w:r>
      <w:r w:rsidR="00F31B24">
        <w:rPr>
          <w:rFonts w:ascii="Times New Roman" w:hAnsi="Times New Roman"/>
          <w:sz w:val="24"/>
          <w:szCs w:val="24"/>
        </w:rPr>
        <w:t>Клиенту оценить, является ли рекомендованный ему финансовый инструмент или сделка соответствующей его потребностям, финансовому положению, ожидаемым результатам, включая Риски.</w:t>
      </w:r>
    </w:p>
    <w:p w14:paraId="2E247BC0" w14:textId="6E473770" w:rsidR="00F31B24" w:rsidRDefault="00F31B24"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2.1.5.</w:t>
      </w:r>
      <w:r>
        <w:rPr>
          <w:rFonts w:ascii="Times New Roman" w:hAnsi="Times New Roman"/>
          <w:sz w:val="24"/>
          <w:szCs w:val="24"/>
        </w:rPr>
        <w:tab/>
        <w:t>Принцип недвусмысленности. Индивидуальная инвестиционная рекомендация должна формулироваться простыми и недвусмысленными выражениями, сопровождаться пояснениями, в том числе в отношении примененной специальной финансовой терминологии и положений, вызывающих вопросы Клиента. При этом, предполагается, что Клиент транслирует инвестиционному советнику недопонимание в отношении полученной индивидуальной инвестиционной рекомендации, поэтому не допускается отказ Клиенту в предоставлении разъяснений.</w:t>
      </w:r>
    </w:p>
    <w:p w14:paraId="15558846" w14:textId="3316C192" w:rsidR="00F31B24" w:rsidRDefault="00F31B24"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2.1.6.</w:t>
      </w:r>
      <w:r>
        <w:rPr>
          <w:rFonts w:ascii="Times New Roman" w:hAnsi="Times New Roman"/>
          <w:sz w:val="24"/>
          <w:szCs w:val="24"/>
        </w:rPr>
        <w:tab/>
        <w:t xml:space="preserve">Принцип доступности. Информация должна предоставляться Клиенту в порядке, предусмотренном договором об инвестиционном </w:t>
      </w:r>
      <w:r w:rsidR="001D0CF2">
        <w:rPr>
          <w:rFonts w:ascii="Times New Roman" w:hAnsi="Times New Roman"/>
          <w:sz w:val="24"/>
          <w:szCs w:val="24"/>
        </w:rPr>
        <w:t>консультировании.</w:t>
      </w:r>
    </w:p>
    <w:p w14:paraId="50F07073" w14:textId="06A305D6" w:rsidR="001D0CF2" w:rsidRDefault="001D0CF2"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Инвестиционный советник взаимодействует с Клиентом в рамках своей функции всегда до заключения сделки в отношении финансового инструмента.</w:t>
      </w:r>
    </w:p>
    <w:p w14:paraId="0B0CD70F" w14:textId="786FE3B5" w:rsidR="001D0CF2" w:rsidRPr="00B63E07" w:rsidRDefault="001D0CF2"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Примеры случаев предоставления индивидуальной инвестиционной рекомендации предусмотрены приложением </w:t>
      </w:r>
      <w:r w:rsidRPr="00B63E07">
        <w:rPr>
          <w:rFonts w:ascii="Times New Roman" w:hAnsi="Times New Roman"/>
          <w:sz w:val="24"/>
          <w:szCs w:val="24"/>
        </w:rPr>
        <w:t>[</w:t>
      </w:r>
      <w:r w:rsidRPr="00B76A8D">
        <w:rPr>
          <w:rFonts w:ascii="Wingdings" w:hAnsi="Wingdings"/>
          <w:color w:val="000000"/>
        </w:rPr>
        <w:t></w:t>
      </w:r>
      <w:r w:rsidRPr="00B63E07">
        <w:rPr>
          <w:rFonts w:ascii="Times New Roman" w:hAnsi="Times New Roman"/>
          <w:sz w:val="24"/>
          <w:szCs w:val="24"/>
        </w:rPr>
        <w:t>] к Стандарту.</w:t>
      </w:r>
    </w:p>
    <w:p w14:paraId="15B84544" w14:textId="46C2DDA2" w:rsidR="00FB2716" w:rsidRDefault="00FB2716" w:rsidP="00854DF2">
      <w:pPr>
        <w:autoSpaceDE w:val="0"/>
        <w:autoSpaceDN w:val="0"/>
        <w:adjustRightInd w:val="0"/>
        <w:spacing w:after="0" w:line="360" w:lineRule="auto"/>
        <w:ind w:firstLine="567"/>
        <w:jc w:val="both"/>
        <w:rPr>
          <w:rFonts w:ascii="Times New Roman" w:hAnsi="Times New Roman"/>
          <w:sz w:val="24"/>
          <w:szCs w:val="24"/>
        </w:rPr>
      </w:pPr>
      <w:r w:rsidRPr="00FB2716">
        <w:rPr>
          <w:rFonts w:ascii="Times New Roman" w:hAnsi="Times New Roman"/>
          <w:sz w:val="24"/>
          <w:szCs w:val="24"/>
        </w:rPr>
        <w:t>2.4.</w:t>
      </w:r>
      <w:r w:rsidRPr="00FB2716">
        <w:rPr>
          <w:rFonts w:ascii="Times New Roman" w:hAnsi="Times New Roman"/>
          <w:sz w:val="24"/>
          <w:szCs w:val="24"/>
        </w:rPr>
        <w:tab/>
        <w:t>Индивидуальная инвестиционная рекомендация может предоставляться как по запросу клиента, так и по инициативе инвестиционного советника.</w:t>
      </w:r>
    </w:p>
    <w:p w14:paraId="65DD8530" w14:textId="42932E29" w:rsidR="009719F4" w:rsidRDefault="009719F4"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 xml:space="preserve">Инвестиционный советник обязан разработать, утвердить и </w:t>
      </w:r>
      <w:r w:rsidR="00BA20F3">
        <w:rPr>
          <w:rFonts w:ascii="Times New Roman" w:hAnsi="Times New Roman"/>
          <w:sz w:val="24"/>
          <w:szCs w:val="24"/>
        </w:rPr>
        <w:t xml:space="preserve">опубликовать на своем официальном сайте в сети Интернет внутренний документ, содержащий политику осуществления деятельности по инвестиционному консультированию. Основные </w:t>
      </w:r>
      <w:r w:rsidR="00BA20F3">
        <w:rPr>
          <w:rFonts w:ascii="Times New Roman" w:hAnsi="Times New Roman"/>
          <w:sz w:val="24"/>
          <w:szCs w:val="24"/>
        </w:rPr>
        <w:lastRenderedPageBreak/>
        <w:t xml:space="preserve">требования к содержанию такого внутреннего документа предусмотрены приложением </w:t>
      </w:r>
      <w:r w:rsidR="00BA20F3" w:rsidRPr="00B63E07">
        <w:rPr>
          <w:rFonts w:ascii="Times New Roman" w:hAnsi="Times New Roman"/>
          <w:sz w:val="24"/>
          <w:szCs w:val="24"/>
        </w:rPr>
        <w:t>[</w:t>
      </w:r>
      <w:r w:rsidR="00BA20F3" w:rsidRPr="00B76A8D">
        <w:rPr>
          <w:rFonts w:ascii="Wingdings" w:hAnsi="Wingdings"/>
          <w:color w:val="000000"/>
        </w:rPr>
        <w:t></w:t>
      </w:r>
      <w:r w:rsidR="00BA20F3" w:rsidRPr="00B63E07">
        <w:rPr>
          <w:rFonts w:ascii="Times New Roman" w:hAnsi="Times New Roman"/>
          <w:sz w:val="24"/>
          <w:szCs w:val="24"/>
        </w:rPr>
        <w:t>] к Стандарту.</w:t>
      </w:r>
    </w:p>
    <w:p w14:paraId="7AF20469" w14:textId="02ED89BC" w:rsidR="00B63E07" w:rsidRDefault="00B63E07"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t>Услуги по инвестиционному консультированию не являются и не могут рассматриваться в качестве дополнительных по отношению к иным услугам на финансовом рынке, которые может оказывать организация, являющаяся одновременно инвестиционным советником и осуществляющая иные виды деятельности на основании лицензии профессионального участника рынка ценных бумаг.</w:t>
      </w:r>
    </w:p>
    <w:p w14:paraId="132604EF" w14:textId="5C6676FA" w:rsidR="003810F0" w:rsidRPr="00FB2716" w:rsidRDefault="003810F0"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t>С</w:t>
      </w:r>
      <w:r w:rsidRPr="00012A90">
        <w:rPr>
          <w:rFonts w:ascii="Times New Roman" w:hAnsi="Times New Roman"/>
          <w:sz w:val="24"/>
          <w:szCs w:val="24"/>
        </w:rPr>
        <w:t>аморегулируемы</w:t>
      </w:r>
      <w:r>
        <w:rPr>
          <w:rFonts w:ascii="Times New Roman" w:hAnsi="Times New Roman"/>
          <w:sz w:val="24"/>
          <w:szCs w:val="24"/>
        </w:rPr>
        <w:t>е</w:t>
      </w:r>
      <w:r w:rsidRPr="00012A90">
        <w:rPr>
          <w:rFonts w:ascii="Times New Roman" w:hAnsi="Times New Roman"/>
          <w:sz w:val="24"/>
          <w:szCs w:val="24"/>
        </w:rPr>
        <w:t xml:space="preserve"> организаци</w:t>
      </w:r>
      <w:r>
        <w:rPr>
          <w:rFonts w:ascii="Times New Roman" w:hAnsi="Times New Roman"/>
          <w:sz w:val="24"/>
          <w:szCs w:val="24"/>
        </w:rPr>
        <w:t>и</w:t>
      </w:r>
      <w:r w:rsidRPr="00012A90">
        <w:rPr>
          <w:rFonts w:ascii="Times New Roman" w:hAnsi="Times New Roman"/>
          <w:sz w:val="24"/>
          <w:szCs w:val="24"/>
        </w:rPr>
        <w:t xml:space="preserve"> в сфере финансового рынка, объединяющи</w:t>
      </w:r>
      <w:r>
        <w:rPr>
          <w:rFonts w:ascii="Times New Roman" w:hAnsi="Times New Roman"/>
          <w:sz w:val="24"/>
          <w:szCs w:val="24"/>
        </w:rPr>
        <w:t>е</w:t>
      </w:r>
      <w:r w:rsidRPr="00012A90">
        <w:rPr>
          <w:rFonts w:ascii="Times New Roman" w:hAnsi="Times New Roman"/>
          <w:sz w:val="24"/>
          <w:szCs w:val="24"/>
        </w:rPr>
        <w:t xml:space="preserve"> </w:t>
      </w:r>
      <w:r>
        <w:rPr>
          <w:rFonts w:ascii="Times New Roman" w:hAnsi="Times New Roman"/>
          <w:sz w:val="24"/>
          <w:szCs w:val="24"/>
        </w:rPr>
        <w:t>инвестиционных советников</w:t>
      </w:r>
      <w:r>
        <w:rPr>
          <w:rFonts w:ascii="Times New Roman" w:hAnsi="Times New Roman"/>
          <w:sz w:val="24"/>
          <w:szCs w:val="24"/>
        </w:rPr>
        <w:t xml:space="preserve">, осуществляют доступными им средствами выявление недобросовестной практики оказания услуг по инвестиционному консультированию и публикуют информацию о таких недобросовестных практиках </w:t>
      </w:r>
      <w:r w:rsidR="00854DF2">
        <w:rPr>
          <w:rFonts w:ascii="Times New Roman" w:hAnsi="Times New Roman"/>
          <w:sz w:val="24"/>
          <w:szCs w:val="24"/>
        </w:rPr>
        <w:t>на периодической основе на своем сайте в сети Интернет. Инвестиционный советник обязан воздерживаться от совершения действий, которые могут рассматриваться в качестве недобросовестной практики оказания услуг при осуществлении деятельности по инвестиционному консультированию.</w:t>
      </w:r>
    </w:p>
    <w:p w14:paraId="597BAB85" w14:textId="77777777" w:rsidR="001D0CF2" w:rsidRPr="00B63E07" w:rsidRDefault="001D0CF2" w:rsidP="00854DF2">
      <w:pPr>
        <w:autoSpaceDE w:val="0"/>
        <w:autoSpaceDN w:val="0"/>
        <w:adjustRightInd w:val="0"/>
        <w:spacing w:after="0" w:line="360" w:lineRule="auto"/>
        <w:ind w:firstLine="567"/>
        <w:jc w:val="both"/>
        <w:rPr>
          <w:rFonts w:ascii="Times New Roman" w:hAnsi="Times New Roman"/>
          <w:sz w:val="24"/>
          <w:szCs w:val="24"/>
        </w:rPr>
      </w:pPr>
    </w:p>
    <w:p w14:paraId="777F8126" w14:textId="6B359620" w:rsidR="001D0CF2" w:rsidRPr="00B63E07" w:rsidRDefault="001D0CF2" w:rsidP="00854DF2">
      <w:pPr>
        <w:autoSpaceDE w:val="0"/>
        <w:autoSpaceDN w:val="0"/>
        <w:adjustRightInd w:val="0"/>
        <w:spacing w:after="0" w:line="360" w:lineRule="auto"/>
        <w:ind w:firstLine="567"/>
        <w:jc w:val="both"/>
        <w:rPr>
          <w:rFonts w:ascii="Times New Roman" w:hAnsi="Times New Roman"/>
          <w:b/>
          <w:sz w:val="24"/>
          <w:szCs w:val="24"/>
        </w:rPr>
      </w:pPr>
      <w:r w:rsidRPr="001D0CF2">
        <w:rPr>
          <w:rFonts w:ascii="Times New Roman" w:hAnsi="Times New Roman"/>
          <w:b/>
          <w:sz w:val="24"/>
          <w:szCs w:val="24"/>
          <w:lang w:val="en-US"/>
        </w:rPr>
        <w:t>III</w:t>
      </w:r>
      <w:r w:rsidRPr="00B63E07">
        <w:rPr>
          <w:rFonts w:ascii="Times New Roman" w:hAnsi="Times New Roman"/>
          <w:b/>
          <w:sz w:val="24"/>
          <w:szCs w:val="24"/>
        </w:rPr>
        <w:t>.</w:t>
      </w:r>
      <w:r w:rsidRPr="00B63E07">
        <w:rPr>
          <w:rFonts w:ascii="Times New Roman" w:hAnsi="Times New Roman"/>
          <w:b/>
          <w:sz w:val="24"/>
          <w:szCs w:val="24"/>
        </w:rPr>
        <w:tab/>
        <w:t>ИНДИВИДУАЛЬНАЯ ИНВЕСТИЦИОННАЯ РЕКОМЕНДАЦИЯ</w:t>
      </w:r>
    </w:p>
    <w:p w14:paraId="7DB77302" w14:textId="13B27DF3" w:rsidR="00194A30" w:rsidRDefault="001D0CF2"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FB2716" w:rsidRPr="00FB2716">
        <w:rPr>
          <w:rFonts w:ascii="Times New Roman" w:hAnsi="Times New Roman"/>
          <w:sz w:val="24"/>
          <w:szCs w:val="24"/>
        </w:rPr>
        <w:t>Признаками индивидуальной инвестиционной рекомендации являются:</w:t>
      </w:r>
    </w:p>
    <w:p w14:paraId="21F7419D" w14:textId="074F6CE4" w:rsidR="00FB2716" w:rsidRPr="00FB2716" w:rsidRDefault="00FB2716" w:rsidP="00854DF2">
      <w:pPr>
        <w:autoSpaceDE w:val="0"/>
        <w:autoSpaceDN w:val="0"/>
        <w:adjustRightInd w:val="0"/>
        <w:spacing w:after="0" w:line="360" w:lineRule="auto"/>
        <w:ind w:firstLine="567"/>
        <w:jc w:val="both"/>
        <w:rPr>
          <w:rFonts w:ascii="Times New Roman" w:hAnsi="Times New Roman"/>
          <w:sz w:val="24"/>
          <w:szCs w:val="24"/>
        </w:rPr>
      </w:pPr>
      <w:r w:rsidRPr="00FB2716">
        <w:rPr>
          <w:rFonts w:ascii="Times New Roman" w:hAnsi="Times New Roman"/>
          <w:sz w:val="24"/>
          <w:szCs w:val="24"/>
        </w:rPr>
        <w:t>3.1.</w:t>
      </w:r>
      <w:r w:rsidR="009719F4">
        <w:rPr>
          <w:rFonts w:ascii="Times New Roman" w:hAnsi="Times New Roman"/>
          <w:sz w:val="24"/>
          <w:szCs w:val="24"/>
        </w:rPr>
        <w:t>1.</w:t>
      </w:r>
      <w:r w:rsidRPr="00FB2716">
        <w:rPr>
          <w:rFonts w:ascii="Times New Roman" w:hAnsi="Times New Roman"/>
          <w:sz w:val="24"/>
          <w:szCs w:val="24"/>
        </w:rPr>
        <w:tab/>
        <w:t>Анали</w:t>
      </w:r>
      <w:r>
        <w:rPr>
          <w:rFonts w:ascii="Times New Roman" w:hAnsi="Times New Roman"/>
          <w:sz w:val="24"/>
          <w:szCs w:val="24"/>
        </w:rPr>
        <w:t xml:space="preserve">тический характер информации. </w:t>
      </w:r>
      <w:r w:rsidRPr="00FB2716">
        <w:rPr>
          <w:rFonts w:ascii="Times New Roman" w:hAnsi="Times New Roman"/>
          <w:sz w:val="24"/>
          <w:szCs w:val="24"/>
        </w:rPr>
        <w:t xml:space="preserve">Предоставление </w:t>
      </w:r>
      <w:r>
        <w:rPr>
          <w:rFonts w:ascii="Times New Roman" w:hAnsi="Times New Roman"/>
          <w:sz w:val="24"/>
          <w:szCs w:val="24"/>
        </w:rPr>
        <w:t xml:space="preserve">Общей </w:t>
      </w:r>
      <w:r w:rsidRPr="00FB2716">
        <w:rPr>
          <w:rFonts w:ascii="Times New Roman" w:hAnsi="Times New Roman"/>
          <w:sz w:val="24"/>
          <w:szCs w:val="24"/>
        </w:rPr>
        <w:t xml:space="preserve">информации </w:t>
      </w:r>
      <w:r>
        <w:rPr>
          <w:rFonts w:ascii="Times New Roman" w:hAnsi="Times New Roman"/>
          <w:sz w:val="24"/>
          <w:szCs w:val="24"/>
        </w:rPr>
        <w:t>о финансовом инструменте</w:t>
      </w:r>
      <w:r w:rsidRPr="00FB2716">
        <w:rPr>
          <w:rFonts w:ascii="Times New Roman" w:hAnsi="Times New Roman"/>
          <w:sz w:val="24"/>
          <w:szCs w:val="24"/>
        </w:rPr>
        <w:t>, без сопровождения ее комментариями, рекомендациями, оценками инвестиционного советника не может рассматриваться в качестве индивидуальной инвестиционной рекомендации.</w:t>
      </w:r>
    </w:p>
    <w:p w14:paraId="259CF75B" w14:textId="45E476EB" w:rsidR="00FB2716" w:rsidRPr="00FB2716" w:rsidRDefault="00FB2716" w:rsidP="00854DF2">
      <w:pPr>
        <w:autoSpaceDE w:val="0"/>
        <w:autoSpaceDN w:val="0"/>
        <w:adjustRightInd w:val="0"/>
        <w:spacing w:after="0" w:line="360" w:lineRule="auto"/>
        <w:ind w:firstLine="567"/>
        <w:jc w:val="both"/>
        <w:rPr>
          <w:rFonts w:ascii="Times New Roman" w:hAnsi="Times New Roman"/>
          <w:sz w:val="24"/>
          <w:szCs w:val="24"/>
        </w:rPr>
      </w:pPr>
      <w:r w:rsidRPr="00FB2716">
        <w:rPr>
          <w:rFonts w:ascii="Times New Roman" w:hAnsi="Times New Roman"/>
          <w:sz w:val="24"/>
          <w:szCs w:val="24"/>
        </w:rPr>
        <w:t>3.</w:t>
      </w:r>
      <w:r w:rsidR="009719F4">
        <w:rPr>
          <w:rFonts w:ascii="Times New Roman" w:hAnsi="Times New Roman"/>
          <w:sz w:val="24"/>
          <w:szCs w:val="24"/>
        </w:rPr>
        <w:t>1.</w:t>
      </w:r>
      <w:r w:rsidRPr="00FB2716">
        <w:rPr>
          <w:rFonts w:ascii="Times New Roman" w:hAnsi="Times New Roman"/>
          <w:sz w:val="24"/>
          <w:szCs w:val="24"/>
        </w:rPr>
        <w:t>2.</w:t>
      </w:r>
      <w:r w:rsidRPr="00FB2716">
        <w:rPr>
          <w:rFonts w:ascii="Times New Roman" w:hAnsi="Times New Roman"/>
          <w:sz w:val="24"/>
          <w:szCs w:val="24"/>
        </w:rPr>
        <w:tab/>
        <w:t xml:space="preserve">Адресный характер информации. – Для того, чтобы информация могла рассматриваться в качестве индивидуальной инвестиционной рекомендации, она должна быть направлена на побуждение </w:t>
      </w:r>
      <w:r>
        <w:rPr>
          <w:rFonts w:ascii="Times New Roman" w:hAnsi="Times New Roman"/>
          <w:sz w:val="24"/>
          <w:szCs w:val="24"/>
        </w:rPr>
        <w:t>конкретного К</w:t>
      </w:r>
      <w:r w:rsidRPr="00FB2716">
        <w:rPr>
          <w:rFonts w:ascii="Times New Roman" w:hAnsi="Times New Roman"/>
          <w:sz w:val="24"/>
          <w:szCs w:val="24"/>
        </w:rPr>
        <w:t>лиента к заключению сделки с финансовым инструментом</w:t>
      </w:r>
      <w:r w:rsidR="009719F4">
        <w:rPr>
          <w:rFonts w:ascii="Times New Roman" w:hAnsi="Times New Roman"/>
          <w:sz w:val="24"/>
          <w:szCs w:val="24"/>
        </w:rPr>
        <w:t>, то есть должна учитывать обстоятельства и интересы конкретного Клиента</w:t>
      </w:r>
      <w:r w:rsidRPr="00FB2716">
        <w:rPr>
          <w:rFonts w:ascii="Times New Roman" w:hAnsi="Times New Roman"/>
          <w:sz w:val="24"/>
          <w:szCs w:val="24"/>
        </w:rPr>
        <w:t>.</w:t>
      </w:r>
      <w:r w:rsidR="00CB271B">
        <w:rPr>
          <w:rFonts w:ascii="Times New Roman" w:hAnsi="Times New Roman"/>
          <w:sz w:val="24"/>
          <w:szCs w:val="24"/>
        </w:rPr>
        <w:t xml:space="preserve"> Оценка информации на предмет соответствия данному признаку должна оцениваться по совокупности обстоятельств, в которых информация предоставляется. Не может рассматриваться в качестве однозначного подтверждения соответствия предоставляемой информации указанному признаку направление информационного сообщения в письменной или устной форме конкретному лицу, использование для коммуникации контактных реквизитов, связанных с конкретным лицом (адреса, номера телефонов, адреса электронной почты и т.д.).</w:t>
      </w:r>
    </w:p>
    <w:p w14:paraId="11CA374D" w14:textId="619A07ED" w:rsidR="00FB2716" w:rsidRPr="00113EE2" w:rsidRDefault="00FB2716" w:rsidP="00854DF2">
      <w:pPr>
        <w:autoSpaceDE w:val="0"/>
        <w:autoSpaceDN w:val="0"/>
        <w:adjustRightInd w:val="0"/>
        <w:spacing w:after="0" w:line="360" w:lineRule="auto"/>
        <w:ind w:firstLine="567"/>
        <w:jc w:val="both"/>
        <w:rPr>
          <w:rFonts w:ascii="Times New Roman" w:hAnsi="Times New Roman"/>
          <w:sz w:val="24"/>
          <w:szCs w:val="24"/>
        </w:rPr>
      </w:pPr>
      <w:r w:rsidRPr="00FB2716">
        <w:rPr>
          <w:rFonts w:ascii="Times New Roman" w:hAnsi="Times New Roman"/>
          <w:sz w:val="24"/>
          <w:szCs w:val="24"/>
        </w:rPr>
        <w:t>3.</w:t>
      </w:r>
      <w:r w:rsidR="009719F4">
        <w:rPr>
          <w:rFonts w:ascii="Times New Roman" w:hAnsi="Times New Roman"/>
          <w:sz w:val="24"/>
          <w:szCs w:val="24"/>
        </w:rPr>
        <w:t>1.</w:t>
      </w:r>
      <w:r w:rsidRPr="00FB2716">
        <w:rPr>
          <w:rFonts w:ascii="Times New Roman" w:hAnsi="Times New Roman"/>
          <w:sz w:val="24"/>
          <w:szCs w:val="24"/>
        </w:rPr>
        <w:t>3.</w:t>
      </w:r>
      <w:r w:rsidRPr="00FB2716">
        <w:rPr>
          <w:rFonts w:ascii="Times New Roman" w:hAnsi="Times New Roman"/>
          <w:sz w:val="24"/>
          <w:szCs w:val="24"/>
        </w:rPr>
        <w:tab/>
      </w:r>
      <w:r w:rsidR="00113EE2">
        <w:rPr>
          <w:rFonts w:ascii="Times New Roman" w:hAnsi="Times New Roman"/>
          <w:sz w:val="24"/>
          <w:szCs w:val="24"/>
        </w:rPr>
        <w:t>Направленный</w:t>
      </w:r>
      <w:r w:rsidR="009719F4">
        <w:rPr>
          <w:rFonts w:ascii="Times New Roman" w:hAnsi="Times New Roman"/>
          <w:sz w:val="24"/>
          <w:szCs w:val="24"/>
        </w:rPr>
        <w:t xml:space="preserve"> характер информации. </w:t>
      </w:r>
      <w:r w:rsidR="009719F4" w:rsidRPr="00FB2716">
        <w:rPr>
          <w:rFonts w:ascii="Times New Roman" w:hAnsi="Times New Roman"/>
          <w:sz w:val="24"/>
          <w:szCs w:val="24"/>
        </w:rPr>
        <w:t>Для того, чтобы информация могла рассматриваться в качестве индивидуальной инвестиционной рекомендации, она</w:t>
      </w:r>
      <w:r w:rsidR="009719F4">
        <w:rPr>
          <w:rFonts w:ascii="Times New Roman" w:hAnsi="Times New Roman"/>
          <w:sz w:val="24"/>
          <w:szCs w:val="24"/>
        </w:rPr>
        <w:t xml:space="preserve"> должна </w:t>
      </w:r>
      <w:r w:rsidR="009719F4">
        <w:rPr>
          <w:rFonts w:ascii="Times New Roman" w:hAnsi="Times New Roman"/>
          <w:sz w:val="24"/>
          <w:szCs w:val="24"/>
        </w:rPr>
        <w:lastRenderedPageBreak/>
        <w:t>восприниматься Клиентом, действующим разумно, в качестве рекомендации</w:t>
      </w:r>
      <w:r w:rsidR="00113EE2">
        <w:rPr>
          <w:rFonts w:ascii="Times New Roman" w:hAnsi="Times New Roman"/>
          <w:sz w:val="24"/>
          <w:szCs w:val="24"/>
        </w:rPr>
        <w:t xml:space="preserve"> и/или побуждения</w:t>
      </w:r>
      <w:r w:rsidR="009719F4">
        <w:rPr>
          <w:rFonts w:ascii="Times New Roman" w:hAnsi="Times New Roman"/>
          <w:sz w:val="24"/>
          <w:szCs w:val="24"/>
        </w:rPr>
        <w:t xml:space="preserve"> совершить сделку с финансовым инструментом, которого касается предоставленная информация.</w:t>
      </w:r>
      <w:r w:rsidR="00113EE2">
        <w:rPr>
          <w:rFonts w:ascii="Times New Roman" w:hAnsi="Times New Roman"/>
          <w:sz w:val="24"/>
          <w:szCs w:val="24"/>
        </w:rPr>
        <w:t xml:space="preserve"> В частности, соответствие предоставляемой Клиенту информации данному признаку может подтверждаться содержащимися в такой информации выражениями типа «рекомендуем </w:t>
      </w:r>
      <w:r w:rsidR="00113EE2" w:rsidRPr="00113EE2">
        <w:rPr>
          <w:rFonts w:ascii="Times New Roman" w:hAnsi="Times New Roman"/>
          <w:sz w:val="24"/>
          <w:szCs w:val="24"/>
        </w:rPr>
        <w:t>[</w:t>
      </w:r>
      <w:r w:rsidR="00113EE2">
        <w:rPr>
          <w:rFonts w:ascii="Times New Roman" w:hAnsi="Times New Roman"/>
          <w:sz w:val="24"/>
          <w:szCs w:val="24"/>
        </w:rPr>
        <w:t>совершить следующие сделки / воздержаться от совершения следующих сделок</w:t>
      </w:r>
      <w:r w:rsidR="00113EE2" w:rsidRPr="00113EE2">
        <w:rPr>
          <w:rFonts w:ascii="Times New Roman" w:hAnsi="Times New Roman"/>
          <w:sz w:val="24"/>
          <w:szCs w:val="24"/>
        </w:rPr>
        <w:t>]</w:t>
      </w:r>
      <w:r w:rsidR="00113EE2">
        <w:rPr>
          <w:rFonts w:ascii="Times New Roman" w:hAnsi="Times New Roman"/>
          <w:sz w:val="24"/>
          <w:szCs w:val="24"/>
        </w:rPr>
        <w:t xml:space="preserve">», «советуем </w:t>
      </w:r>
      <w:r w:rsidR="00113EE2" w:rsidRPr="00113EE2">
        <w:rPr>
          <w:rFonts w:ascii="Times New Roman" w:hAnsi="Times New Roman"/>
          <w:sz w:val="24"/>
          <w:szCs w:val="24"/>
        </w:rPr>
        <w:t>[</w:t>
      </w:r>
      <w:r w:rsidR="00113EE2">
        <w:rPr>
          <w:rFonts w:ascii="Times New Roman" w:hAnsi="Times New Roman"/>
          <w:sz w:val="24"/>
          <w:szCs w:val="24"/>
        </w:rPr>
        <w:t>совершить следующие сделки / воздержаться от совершения следующих сделок</w:t>
      </w:r>
      <w:r w:rsidR="00113EE2" w:rsidRPr="00113EE2">
        <w:rPr>
          <w:rFonts w:ascii="Times New Roman" w:hAnsi="Times New Roman"/>
          <w:sz w:val="24"/>
          <w:szCs w:val="24"/>
        </w:rPr>
        <w:t>]</w:t>
      </w:r>
      <w:r w:rsidR="00113EE2">
        <w:rPr>
          <w:rFonts w:ascii="Times New Roman" w:hAnsi="Times New Roman"/>
          <w:sz w:val="24"/>
          <w:szCs w:val="24"/>
        </w:rPr>
        <w:t>», «</w:t>
      </w:r>
      <w:r w:rsidR="00113EE2" w:rsidRPr="00113EE2">
        <w:rPr>
          <w:rFonts w:ascii="Times New Roman" w:hAnsi="Times New Roman"/>
          <w:sz w:val="24"/>
          <w:szCs w:val="24"/>
        </w:rPr>
        <w:t>[</w:t>
      </w:r>
      <w:r w:rsidR="00113EE2">
        <w:rPr>
          <w:rFonts w:ascii="Times New Roman" w:hAnsi="Times New Roman"/>
          <w:sz w:val="24"/>
          <w:szCs w:val="24"/>
        </w:rPr>
        <w:t>соверш</w:t>
      </w:r>
      <w:r w:rsidR="00113EE2">
        <w:rPr>
          <w:rFonts w:ascii="Times New Roman" w:hAnsi="Times New Roman"/>
          <w:sz w:val="24"/>
          <w:szCs w:val="24"/>
        </w:rPr>
        <w:t>ение / несовершение</w:t>
      </w:r>
      <w:r w:rsidR="00113EE2">
        <w:rPr>
          <w:rFonts w:ascii="Times New Roman" w:hAnsi="Times New Roman"/>
          <w:sz w:val="24"/>
          <w:szCs w:val="24"/>
        </w:rPr>
        <w:t xml:space="preserve"> следующи</w:t>
      </w:r>
      <w:r w:rsidR="00113EE2">
        <w:rPr>
          <w:rFonts w:ascii="Times New Roman" w:hAnsi="Times New Roman"/>
          <w:sz w:val="24"/>
          <w:szCs w:val="24"/>
        </w:rPr>
        <w:t>х</w:t>
      </w:r>
      <w:r w:rsidR="00113EE2">
        <w:rPr>
          <w:rFonts w:ascii="Times New Roman" w:hAnsi="Times New Roman"/>
          <w:sz w:val="24"/>
          <w:szCs w:val="24"/>
        </w:rPr>
        <w:t xml:space="preserve"> сдел</w:t>
      </w:r>
      <w:r w:rsidR="00113EE2">
        <w:rPr>
          <w:rFonts w:ascii="Times New Roman" w:hAnsi="Times New Roman"/>
          <w:sz w:val="24"/>
          <w:szCs w:val="24"/>
        </w:rPr>
        <w:t>о</w:t>
      </w:r>
      <w:r w:rsidR="00113EE2">
        <w:rPr>
          <w:rFonts w:ascii="Times New Roman" w:hAnsi="Times New Roman"/>
          <w:sz w:val="24"/>
          <w:szCs w:val="24"/>
        </w:rPr>
        <w:t>к</w:t>
      </w:r>
      <w:r w:rsidR="00113EE2" w:rsidRPr="00113EE2">
        <w:rPr>
          <w:rFonts w:ascii="Times New Roman" w:hAnsi="Times New Roman"/>
          <w:sz w:val="24"/>
          <w:szCs w:val="24"/>
        </w:rPr>
        <w:t>]</w:t>
      </w:r>
      <w:r w:rsidR="00113EE2">
        <w:rPr>
          <w:rFonts w:ascii="Times New Roman" w:hAnsi="Times New Roman"/>
          <w:sz w:val="24"/>
          <w:szCs w:val="24"/>
        </w:rPr>
        <w:t xml:space="preserve"> в наибольшей мере соответствует интересам </w:t>
      </w:r>
      <w:r w:rsidR="00113EE2" w:rsidRPr="00113EE2">
        <w:rPr>
          <w:rFonts w:ascii="Times New Roman" w:hAnsi="Times New Roman"/>
          <w:sz w:val="24"/>
          <w:szCs w:val="24"/>
        </w:rPr>
        <w:t>[</w:t>
      </w:r>
      <w:r w:rsidR="009B4A48">
        <w:rPr>
          <w:rFonts w:ascii="Times New Roman" w:hAnsi="Times New Roman"/>
          <w:sz w:val="24"/>
          <w:szCs w:val="24"/>
        </w:rPr>
        <w:t>указываются характеристики, которые соответствуют характеристикам Клиентов (например, экспортеры, имеющие длинную / короткую позицию по конкретному финансовому инструменту и т.д.)</w:t>
      </w:r>
      <w:r w:rsidR="00113EE2" w:rsidRPr="00113EE2">
        <w:rPr>
          <w:rFonts w:ascii="Times New Roman" w:hAnsi="Times New Roman"/>
          <w:sz w:val="24"/>
          <w:szCs w:val="24"/>
        </w:rPr>
        <w:t>]</w:t>
      </w:r>
      <w:r w:rsidR="009B4A48">
        <w:rPr>
          <w:rFonts w:ascii="Times New Roman" w:hAnsi="Times New Roman"/>
          <w:sz w:val="24"/>
          <w:szCs w:val="24"/>
        </w:rPr>
        <w:t>».</w:t>
      </w:r>
    </w:p>
    <w:p w14:paraId="0899108D" w14:textId="47941A28" w:rsidR="009719F4" w:rsidRDefault="00BA20F3"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Особенности индивидуальной инвестиционной рекомендации и ее отличия от иной информации, которая может предоставляться при осуществлении иных видов профессиональной деятельности на финансовом рынке, могут быть выявлены на основании анализа примеров практической деятельности профессионального участника рынка ценных бумаг, приведенных в приложении </w:t>
      </w:r>
      <w:r w:rsidRPr="00B63E07">
        <w:rPr>
          <w:rFonts w:ascii="Times New Roman" w:hAnsi="Times New Roman"/>
          <w:sz w:val="24"/>
          <w:szCs w:val="24"/>
        </w:rPr>
        <w:t>[</w:t>
      </w:r>
      <w:r w:rsidRPr="00B76A8D">
        <w:rPr>
          <w:rFonts w:ascii="Wingdings" w:hAnsi="Wingdings"/>
          <w:color w:val="000000"/>
        </w:rPr>
        <w:t></w:t>
      </w:r>
      <w:r w:rsidRPr="00B63E07">
        <w:rPr>
          <w:rFonts w:ascii="Times New Roman" w:hAnsi="Times New Roman"/>
          <w:sz w:val="24"/>
          <w:szCs w:val="24"/>
        </w:rPr>
        <w:t>] к Стандарту.</w:t>
      </w:r>
    </w:p>
    <w:p w14:paraId="4698C859" w14:textId="6E4ADB77" w:rsidR="00113EE2" w:rsidRPr="00FB2716" w:rsidRDefault="00113EE2"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Для признания информации, предоставляемой Клиенту, индивидуальной инвестиционной рекомендацией она должна одновременно соответствовать всем признакам, предусмотренным пунктом 3.1 Стандарта.</w:t>
      </w:r>
    </w:p>
    <w:p w14:paraId="5847C9D0" w14:textId="77777777" w:rsidR="00194A30" w:rsidRDefault="00194A30" w:rsidP="00854DF2">
      <w:pPr>
        <w:autoSpaceDE w:val="0"/>
        <w:autoSpaceDN w:val="0"/>
        <w:adjustRightInd w:val="0"/>
        <w:spacing w:after="0" w:line="360" w:lineRule="auto"/>
        <w:ind w:firstLine="567"/>
        <w:jc w:val="both"/>
        <w:rPr>
          <w:rFonts w:ascii="Times New Roman" w:hAnsi="Times New Roman"/>
          <w:sz w:val="24"/>
          <w:szCs w:val="24"/>
        </w:rPr>
      </w:pPr>
    </w:p>
    <w:p w14:paraId="55160AA1" w14:textId="2B2DCAD4" w:rsidR="00194A30" w:rsidRPr="00B63E07" w:rsidRDefault="00BA20F3" w:rsidP="00854DF2">
      <w:pPr>
        <w:autoSpaceDE w:val="0"/>
        <w:autoSpaceDN w:val="0"/>
        <w:adjustRightInd w:val="0"/>
        <w:spacing w:after="0" w:line="360" w:lineRule="auto"/>
        <w:ind w:firstLine="567"/>
        <w:jc w:val="both"/>
        <w:rPr>
          <w:rFonts w:ascii="Times New Roman" w:hAnsi="Times New Roman"/>
          <w:b/>
          <w:sz w:val="24"/>
          <w:szCs w:val="24"/>
          <w:lang w:val="en-US"/>
        </w:rPr>
      </w:pPr>
      <w:r w:rsidRPr="00B63E07">
        <w:rPr>
          <w:rFonts w:ascii="Times New Roman" w:hAnsi="Times New Roman"/>
          <w:b/>
          <w:sz w:val="24"/>
          <w:szCs w:val="24"/>
          <w:lang w:val="en-US"/>
        </w:rPr>
        <w:t>IV.</w:t>
      </w:r>
      <w:r w:rsidRPr="00B63E07">
        <w:rPr>
          <w:rFonts w:ascii="Times New Roman" w:hAnsi="Times New Roman"/>
          <w:b/>
          <w:sz w:val="24"/>
          <w:szCs w:val="24"/>
          <w:lang w:val="en-US"/>
        </w:rPr>
        <w:tab/>
        <w:t>ДОГОВОР ОБ ИНВЕСТИЦИОННОМ КОНСУЛЬТИРОВАНИИ</w:t>
      </w:r>
    </w:p>
    <w:p w14:paraId="49A299B4" w14:textId="3E063144" w:rsidR="00194A30" w:rsidRDefault="00BA20F3" w:rsidP="00854DF2">
      <w:pPr>
        <w:autoSpaceDE w:val="0"/>
        <w:autoSpaceDN w:val="0"/>
        <w:adjustRightInd w:val="0"/>
        <w:spacing w:after="0" w:line="360" w:lineRule="auto"/>
        <w:ind w:firstLine="567"/>
        <w:jc w:val="both"/>
        <w:rPr>
          <w:rFonts w:ascii="Times New Roman" w:hAnsi="Times New Roman"/>
          <w:sz w:val="24"/>
          <w:szCs w:val="24"/>
        </w:rPr>
      </w:pPr>
      <w:r w:rsidRPr="00B63E07">
        <w:rPr>
          <w:rFonts w:ascii="Times New Roman" w:hAnsi="Times New Roman"/>
          <w:sz w:val="24"/>
          <w:szCs w:val="24"/>
        </w:rPr>
        <w:t>4</w:t>
      </w:r>
      <w:r>
        <w:rPr>
          <w:rFonts w:ascii="Times New Roman" w:hAnsi="Times New Roman"/>
          <w:sz w:val="24"/>
          <w:szCs w:val="24"/>
        </w:rPr>
        <w:t>.1.</w:t>
      </w:r>
      <w:r>
        <w:rPr>
          <w:rFonts w:ascii="Times New Roman" w:hAnsi="Times New Roman"/>
          <w:sz w:val="24"/>
          <w:szCs w:val="24"/>
        </w:rPr>
        <w:tab/>
      </w:r>
      <w:r w:rsidR="00B63E07">
        <w:rPr>
          <w:rFonts w:ascii="Times New Roman" w:hAnsi="Times New Roman"/>
          <w:sz w:val="24"/>
          <w:szCs w:val="24"/>
        </w:rPr>
        <w:t>Договор об инвестиционном консультировании может заключаться только в письменной форме вне зависимости от того, с каким лицом его заключает инвестиционный советник. Договор, заключенный в иной форме не может признаваться договором об инвестиционном консультировании.</w:t>
      </w:r>
    </w:p>
    <w:p w14:paraId="5FF1102B" w14:textId="2FFA98B5" w:rsidR="00B63E07" w:rsidRDefault="00B63E07"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Допускается заключение договора об инвестиционном консультировании путем присоединения или акцепта оферты, в том числе публичной.</w:t>
      </w:r>
    </w:p>
    <w:p w14:paraId="0E9CC9E9" w14:textId="0666A0C3" w:rsidR="00B63E07" w:rsidRDefault="00B63E07"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Существенные условия договора об инвестиционном консультировании определяются в соответствии главой 39 Гражданского кодекса Российской Федерации с учетом того, что при оказании услуг инвестиционным советником на безвозмездной основе стоимость, подлежащая оплате заказчиком равняется нулю.</w:t>
      </w:r>
    </w:p>
    <w:p w14:paraId="190F98D3" w14:textId="78E87574" w:rsidR="00B63E07" w:rsidRDefault="00B63E07"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 xml:space="preserve">Допускается заключение безвозмездного договора об инвестиционном консультировании </w:t>
      </w:r>
      <w:r w:rsidR="001B2AF7">
        <w:rPr>
          <w:rFonts w:ascii="Times New Roman" w:hAnsi="Times New Roman"/>
          <w:sz w:val="24"/>
          <w:szCs w:val="24"/>
        </w:rPr>
        <w:t>с физическим лицом, не являющимся индивидуальным предпринимателем и заключающим договор об инвестиционном консультировании для целей, не связанных с осуществлением предпринимательской деятельности</w:t>
      </w:r>
      <w:r>
        <w:rPr>
          <w:rFonts w:ascii="Times New Roman" w:hAnsi="Times New Roman"/>
          <w:sz w:val="24"/>
          <w:szCs w:val="24"/>
        </w:rPr>
        <w:t>.</w:t>
      </w:r>
    </w:p>
    <w:p w14:paraId="4B45DA99" w14:textId="38B85115" w:rsidR="001B2AF7" w:rsidRPr="001B2AF7" w:rsidRDefault="001B2AF7"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lastRenderedPageBreak/>
        <w:t>4.5.</w:t>
      </w:r>
      <w:r>
        <w:rPr>
          <w:rFonts w:ascii="Times New Roman" w:hAnsi="Times New Roman"/>
          <w:sz w:val="24"/>
          <w:szCs w:val="24"/>
        </w:rPr>
        <w:tab/>
        <w:t xml:space="preserve">Основные условия, которые </w:t>
      </w:r>
      <w:r w:rsidR="003810F0">
        <w:rPr>
          <w:rFonts w:ascii="Times New Roman" w:hAnsi="Times New Roman"/>
          <w:sz w:val="24"/>
          <w:szCs w:val="24"/>
        </w:rPr>
        <w:t xml:space="preserve">в обязательном порядке </w:t>
      </w:r>
      <w:r>
        <w:rPr>
          <w:rFonts w:ascii="Times New Roman" w:hAnsi="Times New Roman"/>
          <w:sz w:val="24"/>
          <w:szCs w:val="24"/>
        </w:rPr>
        <w:t xml:space="preserve">должны </w:t>
      </w:r>
      <w:r w:rsidR="003810F0">
        <w:rPr>
          <w:rFonts w:ascii="Times New Roman" w:hAnsi="Times New Roman"/>
          <w:sz w:val="24"/>
          <w:szCs w:val="24"/>
        </w:rPr>
        <w:t>включаться</w:t>
      </w:r>
      <w:r>
        <w:rPr>
          <w:rFonts w:ascii="Times New Roman" w:hAnsi="Times New Roman"/>
          <w:sz w:val="24"/>
          <w:szCs w:val="24"/>
        </w:rPr>
        <w:t xml:space="preserve"> в договор об инвестиционном консультировании, предусмотрены </w:t>
      </w:r>
      <w:r>
        <w:rPr>
          <w:rFonts w:ascii="Times New Roman" w:hAnsi="Times New Roman"/>
          <w:sz w:val="24"/>
          <w:szCs w:val="24"/>
        </w:rPr>
        <w:t xml:space="preserve">приложением </w:t>
      </w:r>
      <w:r w:rsidRPr="00B63E07">
        <w:rPr>
          <w:rFonts w:ascii="Times New Roman" w:hAnsi="Times New Roman"/>
          <w:sz w:val="24"/>
          <w:szCs w:val="24"/>
        </w:rPr>
        <w:t>[</w:t>
      </w:r>
      <w:r w:rsidRPr="00B76A8D">
        <w:rPr>
          <w:rFonts w:ascii="Wingdings" w:hAnsi="Wingdings"/>
          <w:color w:val="000000"/>
        </w:rPr>
        <w:t></w:t>
      </w:r>
      <w:r w:rsidRPr="00B63E07">
        <w:rPr>
          <w:rFonts w:ascii="Times New Roman" w:hAnsi="Times New Roman"/>
          <w:sz w:val="24"/>
          <w:szCs w:val="24"/>
        </w:rPr>
        <w:t>] к Стандарту</w:t>
      </w:r>
      <w:r>
        <w:rPr>
          <w:rFonts w:ascii="Times New Roman" w:hAnsi="Times New Roman"/>
          <w:sz w:val="24"/>
          <w:szCs w:val="24"/>
        </w:rPr>
        <w:t>.</w:t>
      </w:r>
      <w:r w:rsidR="003810F0">
        <w:rPr>
          <w:rFonts w:ascii="Times New Roman" w:hAnsi="Times New Roman"/>
          <w:sz w:val="24"/>
          <w:szCs w:val="24"/>
        </w:rPr>
        <w:t xml:space="preserve"> Это не ограничивает стороны договора об инвестиционном консультировании в согласовании иных условий, не предусмотренных Стандартом.</w:t>
      </w:r>
    </w:p>
    <w:p w14:paraId="19EABD6F" w14:textId="6E75E001" w:rsidR="001B2AF7" w:rsidRPr="001B2AF7" w:rsidRDefault="001B2AF7"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Pr>
          <w:rFonts w:ascii="Times New Roman" w:hAnsi="Times New Roman"/>
          <w:sz w:val="24"/>
          <w:szCs w:val="24"/>
        </w:rPr>
        <w:t>4.6.</w:t>
      </w:r>
      <w:r>
        <w:rPr>
          <w:rFonts w:ascii="Times New Roman" w:hAnsi="Times New Roman"/>
          <w:sz w:val="24"/>
          <w:szCs w:val="24"/>
        </w:rPr>
        <w:tab/>
        <w:t xml:space="preserve">Примерная форма договора об инвестиционном консультировании приведена в </w:t>
      </w:r>
      <w:r>
        <w:rPr>
          <w:rFonts w:ascii="Times New Roman" w:hAnsi="Times New Roman"/>
          <w:sz w:val="24"/>
          <w:szCs w:val="24"/>
        </w:rPr>
        <w:t>приложени</w:t>
      </w:r>
      <w:r>
        <w:rPr>
          <w:rFonts w:ascii="Times New Roman" w:hAnsi="Times New Roman"/>
          <w:sz w:val="24"/>
          <w:szCs w:val="24"/>
        </w:rPr>
        <w:t>и</w:t>
      </w:r>
      <w:r>
        <w:rPr>
          <w:rFonts w:ascii="Times New Roman" w:hAnsi="Times New Roman"/>
          <w:sz w:val="24"/>
          <w:szCs w:val="24"/>
        </w:rPr>
        <w:t xml:space="preserve"> </w:t>
      </w:r>
      <w:r w:rsidRPr="00B63E07">
        <w:rPr>
          <w:rFonts w:ascii="Times New Roman" w:hAnsi="Times New Roman"/>
          <w:sz w:val="24"/>
          <w:szCs w:val="24"/>
        </w:rPr>
        <w:t>[</w:t>
      </w:r>
      <w:r w:rsidRPr="00B76A8D">
        <w:rPr>
          <w:rFonts w:ascii="Wingdings" w:hAnsi="Wingdings"/>
          <w:color w:val="000000"/>
        </w:rPr>
        <w:t></w:t>
      </w:r>
      <w:r w:rsidRPr="00B63E07">
        <w:rPr>
          <w:rFonts w:ascii="Times New Roman" w:hAnsi="Times New Roman"/>
          <w:sz w:val="24"/>
          <w:szCs w:val="24"/>
        </w:rPr>
        <w:t>] к Стандарту</w:t>
      </w:r>
      <w:r>
        <w:rPr>
          <w:rFonts w:ascii="Times New Roman" w:hAnsi="Times New Roman"/>
          <w:sz w:val="24"/>
          <w:szCs w:val="24"/>
        </w:rPr>
        <w:t>.</w:t>
      </w:r>
      <w:r w:rsidRPr="001B2AF7">
        <w:rPr>
          <w:rFonts w:ascii="Times New Roman" w:hAnsi="Times New Roman"/>
          <w:sz w:val="24"/>
          <w:szCs w:val="24"/>
        </w:rPr>
        <w:t>]</w:t>
      </w:r>
    </w:p>
    <w:p w14:paraId="0A2957FD" w14:textId="77777777" w:rsidR="001B2AF7" w:rsidRDefault="001B2AF7" w:rsidP="00854DF2">
      <w:pPr>
        <w:autoSpaceDE w:val="0"/>
        <w:autoSpaceDN w:val="0"/>
        <w:adjustRightInd w:val="0"/>
        <w:spacing w:after="0" w:line="360" w:lineRule="auto"/>
        <w:ind w:firstLine="567"/>
        <w:jc w:val="both"/>
        <w:rPr>
          <w:rFonts w:ascii="Times New Roman" w:hAnsi="Times New Roman"/>
          <w:sz w:val="24"/>
          <w:szCs w:val="24"/>
        </w:rPr>
      </w:pPr>
    </w:p>
    <w:p w14:paraId="7F45E3DF" w14:textId="554299F4" w:rsidR="001A60A2" w:rsidRPr="001A60A2" w:rsidRDefault="001A60A2" w:rsidP="00854DF2">
      <w:pPr>
        <w:autoSpaceDE w:val="0"/>
        <w:autoSpaceDN w:val="0"/>
        <w:adjustRightInd w:val="0"/>
        <w:spacing w:after="0" w:line="360" w:lineRule="auto"/>
        <w:ind w:firstLine="567"/>
        <w:jc w:val="both"/>
        <w:rPr>
          <w:rFonts w:ascii="Times New Roman" w:hAnsi="Times New Roman"/>
          <w:b/>
          <w:sz w:val="24"/>
          <w:szCs w:val="24"/>
          <w:lang w:val="en-US"/>
        </w:rPr>
      </w:pPr>
      <w:r w:rsidRPr="001A60A2">
        <w:rPr>
          <w:rFonts w:ascii="Times New Roman" w:hAnsi="Times New Roman"/>
          <w:b/>
          <w:sz w:val="24"/>
          <w:szCs w:val="24"/>
          <w:lang w:val="en-US"/>
        </w:rPr>
        <w:t>V.</w:t>
      </w:r>
      <w:r w:rsidRPr="001A60A2">
        <w:rPr>
          <w:rFonts w:ascii="Times New Roman" w:hAnsi="Times New Roman"/>
          <w:b/>
          <w:sz w:val="24"/>
          <w:szCs w:val="24"/>
          <w:lang w:val="en-US"/>
        </w:rPr>
        <w:tab/>
        <w:t>ИНВЕСТИЦИОННЫЙ ПРОФИЛЬ</w:t>
      </w:r>
    </w:p>
    <w:p w14:paraId="771915CE" w14:textId="26936295" w:rsidR="001A60A2" w:rsidRDefault="001A60A2" w:rsidP="00854DF2">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Инвестиционный профиль Клиента представляет собой результат анализа инвестиционным советником совокупности информации, предоставленной Клиентом в связи с договором об инвестиционном консультировании.</w:t>
      </w:r>
    </w:p>
    <w:p w14:paraId="21E6994A" w14:textId="24142CF9" w:rsidR="001A60A2" w:rsidRDefault="001A60A2"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sidRPr="001B2AF7">
        <w:rPr>
          <w:rFonts w:ascii="Times New Roman" w:hAnsi="Times New Roman"/>
          <w:color w:val="FF0000"/>
          <w:sz w:val="24"/>
          <w:szCs w:val="24"/>
        </w:rPr>
        <w:t>ТРЕБУЕТСЯ ОБСУЖДЕНИЕ:</w:t>
      </w:r>
      <w:r>
        <w:rPr>
          <w:rFonts w:ascii="Times New Roman" w:hAnsi="Times New Roman"/>
          <w:color w:val="FF0000"/>
          <w:sz w:val="24"/>
          <w:szCs w:val="24"/>
        </w:rPr>
        <w:t xml:space="preserve"> </w:t>
      </w:r>
      <w:r>
        <w:rPr>
          <w:rFonts w:ascii="Times New Roman" w:hAnsi="Times New Roman"/>
          <w:sz w:val="24"/>
          <w:szCs w:val="24"/>
        </w:rPr>
        <w:t>целесообразность включения модельных положений по профилированию, рекомендованная периодичность актуализации информации, рекомендованная процедура изменения инвестиционного профиля по согласованию с Клиентом.</w:t>
      </w:r>
      <w:r w:rsidR="009B4A48">
        <w:rPr>
          <w:rFonts w:ascii="Times New Roman" w:hAnsi="Times New Roman"/>
          <w:sz w:val="24"/>
          <w:szCs w:val="24"/>
        </w:rPr>
        <w:t xml:space="preserve"> Необходимо, чтобы базовый стандарт не подменял компетенцию Банка России.</w:t>
      </w:r>
      <w:r w:rsidRPr="001A60A2">
        <w:rPr>
          <w:rFonts w:ascii="Times New Roman" w:hAnsi="Times New Roman"/>
          <w:sz w:val="24"/>
          <w:szCs w:val="24"/>
        </w:rPr>
        <w:t>]</w:t>
      </w:r>
    </w:p>
    <w:p w14:paraId="5C17F829" w14:textId="77777777" w:rsidR="001A60A2" w:rsidRPr="001A60A2" w:rsidRDefault="001A60A2" w:rsidP="00854DF2">
      <w:pPr>
        <w:autoSpaceDE w:val="0"/>
        <w:autoSpaceDN w:val="0"/>
        <w:adjustRightInd w:val="0"/>
        <w:spacing w:after="0" w:line="360" w:lineRule="auto"/>
        <w:ind w:firstLine="567"/>
        <w:jc w:val="both"/>
        <w:rPr>
          <w:rFonts w:ascii="Times New Roman" w:hAnsi="Times New Roman"/>
          <w:sz w:val="24"/>
          <w:szCs w:val="24"/>
        </w:rPr>
      </w:pPr>
    </w:p>
    <w:p w14:paraId="6F212D25" w14:textId="3C4C49BD" w:rsidR="001B2AF7" w:rsidRPr="001B2AF7" w:rsidRDefault="001B2AF7" w:rsidP="00854DF2">
      <w:pPr>
        <w:autoSpaceDE w:val="0"/>
        <w:autoSpaceDN w:val="0"/>
        <w:adjustRightInd w:val="0"/>
        <w:spacing w:after="0" w:line="360" w:lineRule="auto"/>
        <w:ind w:firstLine="567"/>
        <w:jc w:val="both"/>
        <w:rPr>
          <w:rFonts w:ascii="Times New Roman" w:hAnsi="Times New Roman"/>
          <w:b/>
          <w:sz w:val="24"/>
          <w:szCs w:val="24"/>
        </w:rPr>
      </w:pPr>
      <w:r w:rsidRPr="001B2AF7">
        <w:rPr>
          <w:rFonts w:ascii="Times New Roman" w:hAnsi="Times New Roman"/>
          <w:b/>
          <w:sz w:val="24"/>
          <w:szCs w:val="24"/>
          <w:lang w:val="en-US"/>
        </w:rPr>
        <w:t>V</w:t>
      </w:r>
      <w:r w:rsidR="001A60A2">
        <w:rPr>
          <w:rFonts w:ascii="Times New Roman" w:hAnsi="Times New Roman"/>
          <w:b/>
          <w:sz w:val="24"/>
          <w:szCs w:val="24"/>
          <w:lang w:val="en-US"/>
        </w:rPr>
        <w:t>I</w:t>
      </w:r>
      <w:r w:rsidRPr="001B2AF7">
        <w:rPr>
          <w:rFonts w:ascii="Times New Roman" w:hAnsi="Times New Roman"/>
          <w:b/>
          <w:sz w:val="24"/>
          <w:szCs w:val="24"/>
        </w:rPr>
        <w:t>.</w:t>
      </w:r>
      <w:r w:rsidRPr="001B2AF7">
        <w:rPr>
          <w:rFonts w:ascii="Times New Roman" w:hAnsi="Times New Roman"/>
          <w:b/>
          <w:sz w:val="24"/>
          <w:szCs w:val="24"/>
        </w:rPr>
        <w:tab/>
        <w:t>КОНФЛИКТ ИНТЕРЕСОВ</w:t>
      </w:r>
    </w:p>
    <w:p w14:paraId="0125DE02" w14:textId="16E19EDC" w:rsidR="001B2AF7" w:rsidRPr="001B2AF7" w:rsidRDefault="001B2AF7"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sidRPr="001B2AF7">
        <w:rPr>
          <w:rFonts w:ascii="Times New Roman" w:hAnsi="Times New Roman"/>
          <w:color w:val="FF0000"/>
          <w:sz w:val="24"/>
          <w:szCs w:val="24"/>
        </w:rPr>
        <w:t>ТРЕБУЕТСЯ ОБСУЖДЕНИЕ:</w:t>
      </w:r>
      <w:r>
        <w:rPr>
          <w:rFonts w:ascii="Times New Roman" w:hAnsi="Times New Roman"/>
          <w:sz w:val="24"/>
          <w:szCs w:val="24"/>
        </w:rPr>
        <w:t xml:space="preserve"> целесообразность включения данного раздела, его содержание</w:t>
      </w:r>
      <w:r w:rsidRPr="001B2AF7">
        <w:rPr>
          <w:rFonts w:ascii="Times New Roman" w:hAnsi="Times New Roman"/>
          <w:sz w:val="24"/>
          <w:szCs w:val="24"/>
        </w:rPr>
        <w:t>]</w:t>
      </w:r>
    </w:p>
    <w:p w14:paraId="7DEF78B6" w14:textId="77777777" w:rsidR="00194A30" w:rsidRDefault="00194A30" w:rsidP="00854DF2">
      <w:pPr>
        <w:autoSpaceDE w:val="0"/>
        <w:autoSpaceDN w:val="0"/>
        <w:adjustRightInd w:val="0"/>
        <w:spacing w:after="0" w:line="360" w:lineRule="auto"/>
        <w:ind w:firstLine="567"/>
        <w:jc w:val="both"/>
        <w:rPr>
          <w:rFonts w:ascii="Times New Roman" w:hAnsi="Times New Roman"/>
          <w:sz w:val="24"/>
          <w:szCs w:val="24"/>
        </w:rPr>
      </w:pPr>
    </w:p>
    <w:p w14:paraId="66F6D4A7" w14:textId="55B59D7E" w:rsidR="00194A30" w:rsidRPr="001B2AF7" w:rsidRDefault="001B2AF7" w:rsidP="00854DF2">
      <w:pPr>
        <w:autoSpaceDE w:val="0"/>
        <w:autoSpaceDN w:val="0"/>
        <w:adjustRightInd w:val="0"/>
        <w:spacing w:after="0" w:line="360" w:lineRule="auto"/>
        <w:ind w:firstLine="567"/>
        <w:jc w:val="both"/>
        <w:rPr>
          <w:rFonts w:ascii="Times New Roman" w:hAnsi="Times New Roman"/>
          <w:b/>
          <w:sz w:val="24"/>
          <w:szCs w:val="24"/>
        </w:rPr>
      </w:pPr>
      <w:r w:rsidRPr="001B2AF7">
        <w:rPr>
          <w:rFonts w:ascii="Times New Roman" w:hAnsi="Times New Roman"/>
          <w:b/>
          <w:sz w:val="24"/>
          <w:szCs w:val="24"/>
          <w:lang w:val="en-US"/>
        </w:rPr>
        <w:t>VI</w:t>
      </w:r>
      <w:r w:rsidR="001A60A2">
        <w:rPr>
          <w:rFonts w:ascii="Times New Roman" w:hAnsi="Times New Roman"/>
          <w:b/>
          <w:sz w:val="24"/>
          <w:szCs w:val="24"/>
          <w:lang w:val="en-US"/>
        </w:rPr>
        <w:t>I</w:t>
      </w:r>
      <w:r w:rsidRPr="001B2AF7">
        <w:rPr>
          <w:rFonts w:ascii="Times New Roman" w:hAnsi="Times New Roman"/>
          <w:b/>
          <w:sz w:val="24"/>
          <w:szCs w:val="24"/>
        </w:rPr>
        <w:t>.</w:t>
      </w:r>
      <w:r w:rsidRPr="001B2AF7">
        <w:rPr>
          <w:rFonts w:ascii="Times New Roman" w:hAnsi="Times New Roman"/>
          <w:b/>
          <w:sz w:val="24"/>
          <w:szCs w:val="24"/>
        </w:rPr>
        <w:tab/>
        <w:t>ОТВЕТСТВЕННОСТЬ ИНВЕСТИЦИОННОГО СОВЕТНИКА</w:t>
      </w:r>
    </w:p>
    <w:p w14:paraId="4B8A032B" w14:textId="25E0AD0D" w:rsidR="001B2AF7" w:rsidRPr="001B2AF7" w:rsidRDefault="001B2AF7"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sidRPr="001B2AF7">
        <w:rPr>
          <w:rFonts w:ascii="Times New Roman" w:hAnsi="Times New Roman"/>
          <w:color w:val="FF0000"/>
          <w:sz w:val="24"/>
          <w:szCs w:val="24"/>
        </w:rPr>
        <w:t>ТРЕБУЕТСЯ ОБСУЖДЕНИЕ:</w:t>
      </w:r>
      <w:r>
        <w:rPr>
          <w:rFonts w:ascii="Times New Roman" w:hAnsi="Times New Roman"/>
          <w:sz w:val="24"/>
          <w:szCs w:val="24"/>
        </w:rPr>
        <w:t xml:space="preserve"> целесообразность включения данного раздела, его содержание</w:t>
      </w:r>
      <w:r>
        <w:rPr>
          <w:rFonts w:ascii="Times New Roman" w:hAnsi="Times New Roman"/>
          <w:sz w:val="24"/>
          <w:szCs w:val="24"/>
        </w:rPr>
        <w:t>. В частности, представляется целесообразным включение общего подхода к основаниям возникновения ответственности инвестиционного советника, а также ограничение ответственности инвестиционного советника.</w:t>
      </w:r>
      <w:r w:rsidRPr="001B2AF7">
        <w:rPr>
          <w:rFonts w:ascii="Times New Roman" w:hAnsi="Times New Roman"/>
          <w:sz w:val="24"/>
          <w:szCs w:val="24"/>
        </w:rPr>
        <w:t>]</w:t>
      </w:r>
    </w:p>
    <w:p w14:paraId="2648F24C" w14:textId="77777777" w:rsidR="00194A30" w:rsidRDefault="00194A30" w:rsidP="00854DF2">
      <w:pPr>
        <w:autoSpaceDE w:val="0"/>
        <w:autoSpaceDN w:val="0"/>
        <w:adjustRightInd w:val="0"/>
        <w:spacing w:after="0" w:line="360" w:lineRule="auto"/>
        <w:ind w:firstLine="567"/>
        <w:jc w:val="both"/>
        <w:rPr>
          <w:rFonts w:ascii="Times New Roman" w:hAnsi="Times New Roman"/>
          <w:sz w:val="24"/>
          <w:szCs w:val="24"/>
        </w:rPr>
      </w:pPr>
    </w:p>
    <w:p w14:paraId="08A8768B" w14:textId="3367CFB4" w:rsidR="001B2AF7" w:rsidRPr="001B2AF7" w:rsidRDefault="001B2AF7" w:rsidP="00854DF2">
      <w:pPr>
        <w:autoSpaceDE w:val="0"/>
        <w:autoSpaceDN w:val="0"/>
        <w:adjustRightInd w:val="0"/>
        <w:spacing w:after="0" w:line="360" w:lineRule="auto"/>
        <w:ind w:firstLine="567"/>
        <w:jc w:val="both"/>
        <w:rPr>
          <w:rFonts w:ascii="Times New Roman" w:hAnsi="Times New Roman"/>
          <w:b/>
          <w:sz w:val="24"/>
          <w:szCs w:val="24"/>
          <w:lang w:val="en-US"/>
        </w:rPr>
      </w:pPr>
      <w:r w:rsidRPr="001B2AF7">
        <w:rPr>
          <w:rFonts w:ascii="Times New Roman" w:hAnsi="Times New Roman"/>
          <w:b/>
          <w:sz w:val="24"/>
          <w:szCs w:val="24"/>
          <w:lang w:val="en-US"/>
        </w:rPr>
        <w:t>VII</w:t>
      </w:r>
      <w:r w:rsidR="001A60A2">
        <w:rPr>
          <w:rFonts w:ascii="Times New Roman" w:hAnsi="Times New Roman"/>
          <w:b/>
          <w:sz w:val="24"/>
          <w:szCs w:val="24"/>
          <w:lang w:val="en-US"/>
        </w:rPr>
        <w:t>I</w:t>
      </w:r>
      <w:r w:rsidRPr="001B2AF7">
        <w:rPr>
          <w:rFonts w:ascii="Times New Roman" w:hAnsi="Times New Roman"/>
          <w:b/>
          <w:sz w:val="24"/>
          <w:szCs w:val="24"/>
          <w:lang w:val="en-US"/>
        </w:rPr>
        <w:t>.</w:t>
      </w:r>
      <w:r w:rsidRPr="001B2AF7">
        <w:rPr>
          <w:rFonts w:ascii="Times New Roman" w:hAnsi="Times New Roman"/>
          <w:b/>
          <w:sz w:val="24"/>
          <w:szCs w:val="24"/>
          <w:lang w:val="en-US"/>
        </w:rPr>
        <w:tab/>
        <w:t>ДОКУМЕНТАЦИОННОЕ ОБЕСПЕЧЕНИЕ ДЕЯТЕЛЬНОСТИ ИНВЕСТИЦИОННОГО СОВЕТНИКА</w:t>
      </w:r>
    </w:p>
    <w:p w14:paraId="4F7B930C" w14:textId="70B813B8" w:rsidR="001B2AF7" w:rsidRDefault="001B2AF7"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sidRPr="001B2AF7">
        <w:rPr>
          <w:rFonts w:ascii="Times New Roman" w:hAnsi="Times New Roman"/>
          <w:color w:val="FF0000"/>
          <w:sz w:val="24"/>
          <w:szCs w:val="24"/>
        </w:rPr>
        <w:t>ТРЕБУЕТСЯ ОБСУЖДЕНИЕ:</w:t>
      </w:r>
      <w:r>
        <w:rPr>
          <w:rFonts w:ascii="Times New Roman" w:hAnsi="Times New Roman"/>
          <w:sz w:val="24"/>
          <w:szCs w:val="24"/>
        </w:rPr>
        <w:t xml:space="preserve"> целесообразность включения данного раздела, его содержание. В частности, представляется целесообразным включение </w:t>
      </w:r>
      <w:r>
        <w:rPr>
          <w:rFonts w:ascii="Times New Roman" w:hAnsi="Times New Roman"/>
          <w:sz w:val="24"/>
          <w:szCs w:val="24"/>
        </w:rPr>
        <w:t xml:space="preserve">положений, связанных с соблюдением требований 115-фз, перечнем документов, запрашиваемых у Клиента для формирования инвестиционного профиля, </w:t>
      </w:r>
      <w:r w:rsidR="003810F0">
        <w:rPr>
          <w:rFonts w:ascii="Times New Roman" w:hAnsi="Times New Roman"/>
          <w:sz w:val="24"/>
          <w:szCs w:val="24"/>
        </w:rPr>
        <w:t>отчетность перед Клиентом, сроки хранения документов, связанных с заключением и исполнением договора об инвестиционном консультировании</w:t>
      </w:r>
      <w:r>
        <w:rPr>
          <w:rFonts w:ascii="Times New Roman" w:hAnsi="Times New Roman"/>
          <w:sz w:val="24"/>
          <w:szCs w:val="24"/>
        </w:rPr>
        <w:t>.</w:t>
      </w:r>
      <w:r w:rsidRPr="001B2AF7">
        <w:rPr>
          <w:rFonts w:ascii="Times New Roman" w:hAnsi="Times New Roman"/>
          <w:sz w:val="24"/>
          <w:szCs w:val="24"/>
        </w:rPr>
        <w:t>]</w:t>
      </w:r>
    </w:p>
    <w:p w14:paraId="1BC5CD41" w14:textId="77777777" w:rsidR="00113EE2" w:rsidRDefault="00113EE2" w:rsidP="00854DF2">
      <w:pPr>
        <w:autoSpaceDE w:val="0"/>
        <w:autoSpaceDN w:val="0"/>
        <w:adjustRightInd w:val="0"/>
        <w:spacing w:after="0" w:line="360" w:lineRule="auto"/>
        <w:ind w:firstLine="567"/>
        <w:jc w:val="both"/>
        <w:rPr>
          <w:rFonts w:ascii="Times New Roman" w:hAnsi="Times New Roman"/>
          <w:sz w:val="24"/>
          <w:szCs w:val="24"/>
        </w:rPr>
      </w:pPr>
    </w:p>
    <w:p w14:paraId="0E600644" w14:textId="008ADAD3" w:rsidR="00113EE2" w:rsidRPr="00113EE2" w:rsidRDefault="00113EE2" w:rsidP="00854DF2">
      <w:pPr>
        <w:autoSpaceDE w:val="0"/>
        <w:autoSpaceDN w:val="0"/>
        <w:adjustRightInd w:val="0"/>
        <w:spacing w:after="0" w:line="360" w:lineRule="auto"/>
        <w:ind w:firstLine="567"/>
        <w:jc w:val="both"/>
        <w:rPr>
          <w:rFonts w:ascii="Times New Roman" w:hAnsi="Times New Roman"/>
          <w:b/>
          <w:sz w:val="24"/>
          <w:szCs w:val="24"/>
          <w:lang w:val="en-US"/>
        </w:rPr>
      </w:pPr>
      <w:r w:rsidRPr="00113EE2">
        <w:rPr>
          <w:rFonts w:ascii="Times New Roman" w:hAnsi="Times New Roman"/>
          <w:b/>
          <w:sz w:val="24"/>
          <w:szCs w:val="24"/>
          <w:lang w:val="en-US"/>
        </w:rPr>
        <w:t>IX.</w:t>
      </w:r>
      <w:r w:rsidRPr="00113EE2">
        <w:rPr>
          <w:rFonts w:ascii="Times New Roman" w:hAnsi="Times New Roman"/>
          <w:b/>
          <w:sz w:val="24"/>
          <w:szCs w:val="24"/>
          <w:lang w:val="en-US"/>
        </w:rPr>
        <w:tab/>
        <w:t>РАБОТНИКИ ИНВЕСТИЦИОННОГО СОВЕТНИКА, ОСУЩЕСТВЛЯЮЩИЕ ДЕЯТЕЛЬНОСТЬ ПО ИНВЕСТИЦИОННОМУ КОНСУЛЬТИРОВАНИЮ</w:t>
      </w:r>
    </w:p>
    <w:p w14:paraId="7B8BA1EC" w14:textId="06235420" w:rsidR="001B2AF7" w:rsidRPr="00113EE2" w:rsidRDefault="00113EE2" w:rsidP="00854DF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t>[</w:t>
      </w:r>
      <w:r w:rsidRPr="001B2AF7">
        <w:rPr>
          <w:rFonts w:ascii="Times New Roman" w:hAnsi="Times New Roman"/>
          <w:color w:val="FF0000"/>
          <w:sz w:val="24"/>
          <w:szCs w:val="24"/>
        </w:rPr>
        <w:t>ТРЕБУЕТСЯ ОБСУЖДЕНИЕ:</w:t>
      </w:r>
      <w:r>
        <w:rPr>
          <w:rFonts w:ascii="Times New Roman" w:hAnsi="Times New Roman"/>
          <w:color w:val="FF0000"/>
          <w:sz w:val="24"/>
          <w:szCs w:val="24"/>
        </w:rPr>
        <w:t xml:space="preserve"> </w:t>
      </w:r>
      <w:r>
        <w:rPr>
          <w:rFonts w:ascii="Times New Roman" w:hAnsi="Times New Roman"/>
          <w:sz w:val="24"/>
          <w:szCs w:val="24"/>
        </w:rPr>
        <w:t>включение идентификационных признаков вовлеченности работника в осуществление данного вида деятельности, отделение лиц, формирующих рекомендации, от лиц, которые их транслируют, без изменения.</w:t>
      </w:r>
      <w:r w:rsidRPr="00113EE2">
        <w:rPr>
          <w:rFonts w:ascii="Times New Roman" w:hAnsi="Times New Roman"/>
          <w:sz w:val="24"/>
          <w:szCs w:val="24"/>
        </w:rPr>
        <w:t>]</w:t>
      </w:r>
    </w:p>
    <w:p w14:paraId="26D99618" w14:textId="77777777" w:rsidR="00854DF2" w:rsidRDefault="00854DF2" w:rsidP="00854DF2">
      <w:pPr>
        <w:autoSpaceDE w:val="0"/>
        <w:autoSpaceDN w:val="0"/>
        <w:adjustRightInd w:val="0"/>
        <w:spacing w:after="0" w:line="360" w:lineRule="auto"/>
        <w:ind w:firstLine="567"/>
        <w:jc w:val="both"/>
        <w:rPr>
          <w:rFonts w:ascii="Times New Roman" w:hAnsi="Times New Roman"/>
          <w:sz w:val="24"/>
          <w:szCs w:val="24"/>
        </w:rPr>
      </w:pPr>
    </w:p>
    <w:p w14:paraId="045FE339" w14:textId="6D9CC6A3" w:rsidR="00854DF2" w:rsidRDefault="00854DF2">
      <w:pPr>
        <w:spacing w:after="0" w:line="240" w:lineRule="auto"/>
        <w:rPr>
          <w:rFonts w:ascii="Times New Roman" w:hAnsi="Times New Roman"/>
          <w:sz w:val="24"/>
          <w:szCs w:val="24"/>
        </w:rPr>
      </w:pPr>
      <w:r>
        <w:rPr>
          <w:rFonts w:ascii="Times New Roman" w:hAnsi="Times New Roman"/>
          <w:sz w:val="24"/>
          <w:szCs w:val="24"/>
        </w:rPr>
        <w:br w:type="page"/>
      </w:r>
    </w:p>
    <w:p w14:paraId="4B522CDF" w14:textId="7F659FC0" w:rsidR="00113EE2" w:rsidRPr="001A60A2" w:rsidRDefault="00113EE2" w:rsidP="00113EE2">
      <w:pPr>
        <w:autoSpaceDE w:val="0"/>
        <w:autoSpaceDN w:val="0"/>
        <w:adjustRightInd w:val="0"/>
        <w:spacing w:after="0" w:line="360" w:lineRule="auto"/>
        <w:ind w:firstLine="567"/>
        <w:jc w:val="both"/>
        <w:rPr>
          <w:rFonts w:ascii="Times New Roman" w:hAnsi="Times New Roman"/>
          <w:sz w:val="24"/>
          <w:szCs w:val="24"/>
        </w:rPr>
      </w:pPr>
      <w:r w:rsidRPr="001B2AF7">
        <w:rPr>
          <w:rFonts w:ascii="Times New Roman" w:hAnsi="Times New Roman"/>
          <w:sz w:val="24"/>
          <w:szCs w:val="24"/>
        </w:rPr>
        <w:lastRenderedPageBreak/>
        <w:t>[</w:t>
      </w:r>
      <w:r w:rsidRPr="001B2AF7">
        <w:rPr>
          <w:rFonts w:ascii="Times New Roman" w:hAnsi="Times New Roman"/>
          <w:color w:val="FF0000"/>
          <w:sz w:val="24"/>
          <w:szCs w:val="24"/>
        </w:rPr>
        <w:t>ТРЕБУЕТСЯ ОБСУЖДЕНИЕ:</w:t>
      </w:r>
      <w:r>
        <w:rPr>
          <w:rFonts w:ascii="Times New Roman" w:hAnsi="Times New Roman"/>
          <w:color w:val="FF0000"/>
          <w:sz w:val="24"/>
          <w:szCs w:val="24"/>
        </w:rPr>
        <w:t xml:space="preserve"> </w:t>
      </w:r>
      <w:r>
        <w:rPr>
          <w:rFonts w:ascii="Times New Roman" w:hAnsi="Times New Roman"/>
          <w:sz w:val="24"/>
          <w:szCs w:val="24"/>
        </w:rPr>
        <w:t>в отношении всех приложений – и</w:t>
      </w:r>
      <w:r>
        <w:rPr>
          <w:rFonts w:ascii="Times New Roman" w:hAnsi="Times New Roman"/>
          <w:sz w:val="24"/>
          <w:szCs w:val="24"/>
        </w:rPr>
        <w:t>спользовать</w:t>
      </w:r>
      <w:r>
        <w:rPr>
          <w:rFonts w:ascii="Times New Roman" w:hAnsi="Times New Roman"/>
          <w:sz w:val="24"/>
          <w:szCs w:val="24"/>
        </w:rPr>
        <w:t xml:space="preserve"> </w:t>
      </w:r>
      <w:r>
        <w:rPr>
          <w:rFonts w:ascii="Times New Roman" w:hAnsi="Times New Roman"/>
          <w:sz w:val="24"/>
          <w:szCs w:val="24"/>
        </w:rPr>
        <w:t>формат приложения к Стандарту или рассмотреть иные варианты (например, методические материалы, публикуемые СРО).</w:t>
      </w:r>
      <w:r w:rsidRPr="001A60A2">
        <w:rPr>
          <w:rFonts w:ascii="Times New Roman" w:hAnsi="Times New Roman"/>
          <w:sz w:val="24"/>
          <w:szCs w:val="24"/>
        </w:rPr>
        <w:t>]</w:t>
      </w:r>
    </w:p>
    <w:p w14:paraId="30947B7D" w14:textId="77777777" w:rsidR="00113EE2" w:rsidRPr="00113EE2" w:rsidRDefault="00113EE2" w:rsidP="00854DF2">
      <w:pPr>
        <w:autoSpaceDE w:val="0"/>
        <w:autoSpaceDN w:val="0"/>
        <w:adjustRightInd w:val="0"/>
        <w:spacing w:after="0" w:line="360" w:lineRule="auto"/>
        <w:ind w:firstLine="567"/>
        <w:jc w:val="right"/>
        <w:rPr>
          <w:rFonts w:ascii="Times New Roman" w:hAnsi="Times New Roman"/>
          <w:sz w:val="24"/>
          <w:szCs w:val="24"/>
        </w:rPr>
      </w:pPr>
    </w:p>
    <w:p w14:paraId="327D5F9D" w14:textId="0EC9E261" w:rsidR="00854DF2" w:rsidRDefault="00854DF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t>Приложение 1</w:t>
      </w:r>
    </w:p>
    <w:p w14:paraId="71FE5CA1" w14:textId="77777777" w:rsidR="00854DF2" w:rsidRDefault="00854DF2" w:rsidP="00854DF2">
      <w:pPr>
        <w:autoSpaceDE w:val="0"/>
        <w:autoSpaceDN w:val="0"/>
        <w:adjustRightInd w:val="0"/>
        <w:spacing w:after="0" w:line="360" w:lineRule="auto"/>
        <w:ind w:firstLine="567"/>
        <w:jc w:val="both"/>
        <w:rPr>
          <w:rFonts w:ascii="Times New Roman" w:hAnsi="Times New Roman"/>
          <w:sz w:val="24"/>
          <w:szCs w:val="24"/>
        </w:rPr>
      </w:pPr>
    </w:p>
    <w:p w14:paraId="463491EF" w14:textId="69CF6AFE" w:rsidR="00854DF2" w:rsidRDefault="00854DF2">
      <w:pPr>
        <w:spacing w:after="0" w:line="240" w:lineRule="auto"/>
        <w:rPr>
          <w:rFonts w:ascii="Times New Roman" w:hAnsi="Times New Roman"/>
          <w:sz w:val="24"/>
          <w:szCs w:val="24"/>
        </w:rPr>
      </w:pPr>
      <w:r>
        <w:rPr>
          <w:rFonts w:ascii="Times New Roman" w:hAnsi="Times New Roman"/>
          <w:sz w:val="24"/>
          <w:szCs w:val="24"/>
        </w:rPr>
        <w:br w:type="page"/>
      </w:r>
    </w:p>
    <w:p w14:paraId="55488510" w14:textId="5A259B24" w:rsidR="00854DF2" w:rsidRDefault="00854DF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2</w:t>
      </w:r>
    </w:p>
    <w:p w14:paraId="34E3B9C1" w14:textId="77777777"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p>
    <w:p w14:paraId="1F59E8F9" w14:textId="574B5359" w:rsidR="001A60A2" w:rsidRDefault="001A60A2">
      <w:pPr>
        <w:spacing w:after="0" w:line="240" w:lineRule="auto"/>
        <w:rPr>
          <w:rFonts w:ascii="Times New Roman" w:hAnsi="Times New Roman"/>
          <w:sz w:val="24"/>
          <w:szCs w:val="24"/>
        </w:rPr>
      </w:pPr>
      <w:r>
        <w:rPr>
          <w:rFonts w:ascii="Times New Roman" w:hAnsi="Times New Roman"/>
          <w:sz w:val="24"/>
          <w:szCs w:val="24"/>
        </w:rPr>
        <w:br w:type="page"/>
      </w:r>
    </w:p>
    <w:p w14:paraId="7FC974B0" w14:textId="6E787357"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3</w:t>
      </w:r>
    </w:p>
    <w:p w14:paraId="6E8E91B3" w14:textId="77777777"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p>
    <w:p w14:paraId="1DEDBF6D" w14:textId="44D584F3" w:rsidR="001A60A2" w:rsidRDefault="001A60A2">
      <w:pPr>
        <w:spacing w:after="0" w:line="240" w:lineRule="auto"/>
        <w:rPr>
          <w:rFonts w:ascii="Times New Roman" w:hAnsi="Times New Roman"/>
          <w:sz w:val="24"/>
          <w:szCs w:val="24"/>
        </w:rPr>
      </w:pPr>
      <w:r>
        <w:rPr>
          <w:rFonts w:ascii="Times New Roman" w:hAnsi="Times New Roman"/>
          <w:sz w:val="24"/>
          <w:szCs w:val="24"/>
        </w:rPr>
        <w:br w:type="page"/>
      </w:r>
    </w:p>
    <w:p w14:paraId="4E5A3BA3" w14:textId="2968334B"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4</w:t>
      </w:r>
    </w:p>
    <w:p w14:paraId="76AEC27D" w14:textId="77777777"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p>
    <w:p w14:paraId="1D847DB8" w14:textId="7ED7BB87" w:rsidR="001A60A2" w:rsidRDefault="001A60A2">
      <w:pPr>
        <w:spacing w:after="0" w:line="240" w:lineRule="auto"/>
        <w:rPr>
          <w:rFonts w:ascii="Times New Roman" w:hAnsi="Times New Roman"/>
          <w:sz w:val="24"/>
          <w:szCs w:val="24"/>
        </w:rPr>
      </w:pPr>
      <w:r>
        <w:rPr>
          <w:rFonts w:ascii="Times New Roman" w:hAnsi="Times New Roman"/>
          <w:sz w:val="24"/>
          <w:szCs w:val="24"/>
        </w:rPr>
        <w:br w:type="page"/>
      </w:r>
    </w:p>
    <w:p w14:paraId="35423962" w14:textId="1FC6F7CD"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5</w:t>
      </w:r>
    </w:p>
    <w:p w14:paraId="47EE65DF" w14:textId="77777777"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p>
    <w:p w14:paraId="2F1D3A82" w14:textId="0F5A4833" w:rsidR="001A60A2" w:rsidRDefault="001A60A2">
      <w:pPr>
        <w:spacing w:after="0" w:line="240" w:lineRule="auto"/>
        <w:rPr>
          <w:rFonts w:ascii="Times New Roman" w:hAnsi="Times New Roman"/>
          <w:sz w:val="24"/>
          <w:szCs w:val="24"/>
        </w:rPr>
      </w:pPr>
      <w:r>
        <w:rPr>
          <w:rFonts w:ascii="Times New Roman" w:hAnsi="Times New Roman"/>
          <w:sz w:val="24"/>
          <w:szCs w:val="24"/>
        </w:rPr>
        <w:br w:type="page"/>
      </w:r>
    </w:p>
    <w:p w14:paraId="15907E22" w14:textId="33A87365" w:rsidR="001A60A2" w:rsidRDefault="001A60A2" w:rsidP="00854DF2">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6</w:t>
      </w:r>
    </w:p>
    <w:p w14:paraId="605FAE8D" w14:textId="6D2F0748" w:rsidR="009B4A48" w:rsidRDefault="009B4A48">
      <w:pPr>
        <w:spacing w:after="0" w:line="240" w:lineRule="auto"/>
        <w:rPr>
          <w:rFonts w:ascii="Times New Roman" w:hAnsi="Times New Roman"/>
          <w:sz w:val="24"/>
          <w:szCs w:val="24"/>
        </w:rPr>
      </w:pPr>
      <w:r>
        <w:rPr>
          <w:rFonts w:ascii="Times New Roman" w:hAnsi="Times New Roman"/>
          <w:sz w:val="24"/>
          <w:szCs w:val="24"/>
        </w:rPr>
        <w:br w:type="page"/>
      </w:r>
    </w:p>
    <w:p w14:paraId="40373C7C" w14:textId="2218271B" w:rsidR="001A60A2" w:rsidRPr="001B2AF7" w:rsidRDefault="009B4A48" w:rsidP="009B4A48">
      <w:pPr>
        <w:autoSpaceDE w:val="0"/>
        <w:autoSpaceDN w:val="0"/>
        <w:adjustRightInd w:val="0"/>
        <w:spacing w:after="0" w:line="360" w:lineRule="auto"/>
        <w:ind w:firstLine="567"/>
        <w:jc w:val="right"/>
        <w:rPr>
          <w:rFonts w:ascii="Times New Roman" w:hAnsi="Times New Roman"/>
          <w:sz w:val="24"/>
          <w:szCs w:val="24"/>
        </w:rPr>
      </w:pPr>
      <w:r>
        <w:rPr>
          <w:rFonts w:ascii="Times New Roman" w:hAnsi="Times New Roman"/>
          <w:sz w:val="24"/>
          <w:szCs w:val="24"/>
        </w:rPr>
        <w:lastRenderedPageBreak/>
        <w:t>Приложение 7</w:t>
      </w:r>
    </w:p>
    <w:sectPr w:rsidR="001A60A2" w:rsidRPr="001B2AF7" w:rsidSect="008B402E">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2348D" w14:textId="77777777" w:rsidR="00452619" w:rsidRDefault="00452619" w:rsidP="0029363B">
      <w:pPr>
        <w:spacing w:after="0" w:line="240" w:lineRule="auto"/>
      </w:pPr>
      <w:r>
        <w:separator/>
      </w:r>
    </w:p>
  </w:endnote>
  <w:endnote w:type="continuationSeparator" w:id="0">
    <w:p w14:paraId="35A3E57A" w14:textId="77777777" w:rsidR="00452619" w:rsidRDefault="00452619" w:rsidP="0029363B">
      <w:pPr>
        <w:spacing w:after="0" w:line="240" w:lineRule="auto"/>
      </w:pPr>
      <w:r>
        <w:continuationSeparator/>
      </w:r>
    </w:p>
  </w:endnote>
  <w:endnote w:type="continuationNotice" w:id="1">
    <w:p w14:paraId="0DDD75AE" w14:textId="77777777" w:rsidR="00452619" w:rsidRDefault="0045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AA40" w14:textId="77777777" w:rsidR="009719F4" w:rsidRDefault="009719F4" w:rsidP="00A724E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7A472CAE" w14:textId="77777777" w:rsidR="009719F4" w:rsidRDefault="009719F4" w:rsidP="006448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8473F" w14:textId="77777777" w:rsidR="009719F4" w:rsidRPr="00854DF2" w:rsidRDefault="009719F4" w:rsidP="00A724ED">
    <w:pPr>
      <w:pStyle w:val="a5"/>
      <w:framePr w:wrap="around" w:vAnchor="text" w:hAnchor="margin" w:xAlign="right" w:y="1"/>
      <w:rPr>
        <w:rStyle w:val="aa"/>
        <w:rFonts w:ascii="Times New Roman" w:hAnsi="Times New Roman"/>
      </w:rPr>
    </w:pPr>
    <w:r w:rsidRPr="00854DF2">
      <w:rPr>
        <w:rStyle w:val="aa"/>
        <w:rFonts w:ascii="Times New Roman" w:hAnsi="Times New Roman"/>
      </w:rPr>
      <w:fldChar w:fldCharType="begin"/>
    </w:r>
    <w:r w:rsidRPr="00854DF2">
      <w:rPr>
        <w:rStyle w:val="aa"/>
        <w:rFonts w:ascii="Times New Roman" w:hAnsi="Times New Roman"/>
      </w:rPr>
      <w:instrText xml:space="preserve">PAGE  </w:instrText>
    </w:r>
    <w:r w:rsidRPr="00854DF2">
      <w:rPr>
        <w:rStyle w:val="aa"/>
        <w:rFonts w:ascii="Times New Roman" w:hAnsi="Times New Roman"/>
      </w:rPr>
      <w:fldChar w:fldCharType="separate"/>
    </w:r>
    <w:r w:rsidR="00CB271B">
      <w:rPr>
        <w:rStyle w:val="aa"/>
        <w:rFonts w:ascii="Times New Roman" w:hAnsi="Times New Roman"/>
        <w:noProof/>
      </w:rPr>
      <w:t>1</w:t>
    </w:r>
    <w:r w:rsidRPr="00854DF2">
      <w:rPr>
        <w:rStyle w:val="aa"/>
        <w:rFonts w:ascii="Times New Roman" w:hAnsi="Times New Roman"/>
      </w:rPr>
      <w:fldChar w:fldCharType="end"/>
    </w:r>
  </w:p>
  <w:p w14:paraId="2F71F9C7" w14:textId="77777777" w:rsidR="009719F4" w:rsidRDefault="009719F4" w:rsidP="006448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00A8" w14:textId="77777777" w:rsidR="00452619" w:rsidRDefault="00452619" w:rsidP="0029363B">
      <w:pPr>
        <w:spacing w:after="0" w:line="240" w:lineRule="auto"/>
      </w:pPr>
      <w:r>
        <w:separator/>
      </w:r>
    </w:p>
  </w:footnote>
  <w:footnote w:type="continuationSeparator" w:id="0">
    <w:p w14:paraId="5B139E95" w14:textId="77777777" w:rsidR="00452619" w:rsidRDefault="00452619" w:rsidP="0029363B">
      <w:pPr>
        <w:spacing w:after="0" w:line="240" w:lineRule="auto"/>
      </w:pPr>
      <w:r>
        <w:continuationSeparator/>
      </w:r>
    </w:p>
  </w:footnote>
  <w:footnote w:type="continuationNotice" w:id="1">
    <w:p w14:paraId="11C26B1A" w14:textId="77777777" w:rsidR="00452619" w:rsidRDefault="004526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049FA" w14:textId="77777777" w:rsidR="009719F4" w:rsidRDefault="009719F4" w:rsidP="001522A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5B2E"/>
    <w:multiLevelType w:val="hybridMultilevel"/>
    <w:tmpl w:val="996C28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CB2DC3"/>
    <w:multiLevelType w:val="hybridMultilevel"/>
    <w:tmpl w:val="00760038"/>
    <w:lvl w:ilvl="0" w:tplc="1A9AF782">
      <w:start w:val="1"/>
      <w:numFmt w:val="decimal"/>
      <w:lvlText w:val="(%1)"/>
      <w:lvlJc w:val="left"/>
      <w:pPr>
        <w:ind w:left="398" w:hanging="360"/>
      </w:pPr>
      <w:rPr>
        <w:rFonts w:cs="Times New Roman" w:hint="default"/>
      </w:rPr>
    </w:lvl>
    <w:lvl w:ilvl="1" w:tplc="04190019">
      <w:start w:val="1"/>
      <w:numFmt w:val="lowerLetter"/>
      <w:lvlText w:val="%2."/>
      <w:lvlJc w:val="left"/>
      <w:pPr>
        <w:ind w:left="1118" w:hanging="360"/>
      </w:pPr>
      <w:rPr>
        <w:rFonts w:cs="Times New Roman"/>
      </w:rPr>
    </w:lvl>
    <w:lvl w:ilvl="2" w:tplc="0419001B">
      <w:start w:val="1"/>
      <w:numFmt w:val="lowerRoman"/>
      <w:lvlText w:val="%3."/>
      <w:lvlJc w:val="right"/>
      <w:pPr>
        <w:ind w:left="1838" w:hanging="180"/>
      </w:pPr>
      <w:rPr>
        <w:rFonts w:cs="Times New Roman"/>
      </w:rPr>
    </w:lvl>
    <w:lvl w:ilvl="3" w:tplc="0419000F">
      <w:start w:val="1"/>
      <w:numFmt w:val="decimal"/>
      <w:lvlText w:val="%4."/>
      <w:lvlJc w:val="left"/>
      <w:pPr>
        <w:ind w:left="2558" w:hanging="360"/>
      </w:pPr>
      <w:rPr>
        <w:rFonts w:cs="Times New Roman"/>
      </w:rPr>
    </w:lvl>
    <w:lvl w:ilvl="4" w:tplc="04190019">
      <w:start w:val="1"/>
      <w:numFmt w:val="lowerLetter"/>
      <w:lvlText w:val="%5."/>
      <w:lvlJc w:val="left"/>
      <w:pPr>
        <w:ind w:left="3278" w:hanging="360"/>
      </w:pPr>
      <w:rPr>
        <w:rFonts w:cs="Times New Roman"/>
      </w:rPr>
    </w:lvl>
    <w:lvl w:ilvl="5" w:tplc="0419001B">
      <w:start w:val="1"/>
      <w:numFmt w:val="lowerRoman"/>
      <w:lvlText w:val="%6."/>
      <w:lvlJc w:val="right"/>
      <w:pPr>
        <w:ind w:left="3998" w:hanging="180"/>
      </w:pPr>
      <w:rPr>
        <w:rFonts w:cs="Times New Roman"/>
      </w:rPr>
    </w:lvl>
    <w:lvl w:ilvl="6" w:tplc="0419000F">
      <w:start w:val="1"/>
      <w:numFmt w:val="decimal"/>
      <w:lvlText w:val="%7."/>
      <w:lvlJc w:val="left"/>
      <w:pPr>
        <w:ind w:left="4718" w:hanging="360"/>
      </w:pPr>
      <w:rPr>
        <w:rFonts w:cs="Times New Roman"/>
      </w:rPr>
    </w:lvl>
    <w:lvl w:ilvl="7" w:tplc="04190019">
      <w:start w:val="1"/>
      <w:numFmt w:val="lowerLetter"/>
      <w:lvlText w:val="%8."/>
      <w:lvlJc w:val="left"/>
      <w:pPr>
        <w:ind w:left="5438" w:hanging="360"/>
      </w:pPr>
      <w:rPr>
        <w:rFonts w:cs="Times New Roman"/>
      </w:rPr>
    </w:lvl>
    <w:lvl w:ilvl="8" w:tplc="0419001B">
      <w:start w:val="1"/>
      <w:numFmt w:val="lowerRoman"/>
      <w:lvlText w:val="%9."/>
      <w:lvlJc w:val="right"/>
      <w:pPr>
        <w:ind w:left="6158" w:hanging="180"/>
      </w:pPr>
      <w:rPr>
        <w:rFonts w:cs="Times New Roman"/>
      </w:rPr>
    </w:lvl>
  </w:abstractNum>
  <w:abstractNum w:abstractNumId="2">
    <w:nsid w:val="244E0E89"/>
    <w:multiLevelType w:val="hybridMultilevel"/>
    <w:tmpl w:val="388EEC7C"/>
    <w:lvl w:ilvl="0" w:tplc="EA183FAC">
      <w:start w:val="1"/>
      <w:numFmt w:val="russianLower"/>
      <w:lvlText w:val="(%1)"/>
      <w:lvlJc w:val="left"/>
      <w:pPr>
        <w:ind w:left="398" w:hanging="360"/>
      </w:pPr>
      <w:rPr>
        <w:rFonts w:cs="Times New Roman" w:hint="default"/>
      </w:rPr>
    </w:lvl>
    <w:lvl w:ilvl="1" w:tplc="04190019">
      <w:start w:val="1"/>
      <w:numFmt w:val="lowerLetter"/>
      <w:lvlText w:val="%2."/>
      <w:lvlJc w:val="left"/>
      <w:pPr>
        <w:ind w:left="1118" w:hanging="360"/>
      </w:pPr>
      <w:rPr>
        <w:rFonts w:cs="Times New Roman"/>
      </w:rPr>
    </w:lvl>
    <w:lvl w:ilvl="2" w:tplc="0419001B">
      <w:start w:val="1"/>
      <w:numFmt w:val="lowerRoman"/>
      <w:lvlText w:val="%3."/>
      <w:lvlJc w:val="right"/>
      <w:pPr>
        <w:ind w:left="1838" w:hanging="180"/>
      </w:pPr>
      <w:rPr>
        <w:rFonts w:cs="Times New Roman"/>
      </w:rPr>
    </w:lvl>
    <w:lvl w:ilvl="3" w:tplc="0419000F">
      <w:start w:val="1"/>
      <w:numFmt w:val="decimal"/>
      <w:lvlText w:val="%4."/>
      <w:lvlJc w:val="left"/>
      <w:pPr>
        <w:ind w:left="2558" w:hanging="360"/>
      </w:pPr>
      <w:rPr>
        <w:rFonts w:cs="Times New Roman"/>
      </w:rPr>
    </w:lvl>
    <w:lvl w:ilvl="4" w:tplc="04190019">
      <w:start w:val="1"/>
      <w:numFmt w:val="lowerLetter"/>
      <w:lvlText w:val="%5."/>
      <w:lvlJc w:val="left"/>
      <w:pPr>
        <w:ind w:left="3278" w:hanging="360"/>
      </w:pPr>
      <w:rPr>
        <w:rFonts w:cs="Times New Roman"/>
      </w:rPr>
    </w:lvl>
    <w:lvl w:ilvl="5" w:tplc="0419001B">
      <w:start w:val="1"/>
      <w:numFmt w:val="lowerRoman"/>
      <w:lvlText w:val="%6."/>
      <w:lvlJc w:val="right"/>
      <w:pPr>
        <w:ind w:left="3998" w:hanging="180"/>
      </w:pPr>
      <w:rPr>
        <w:rFonts w:cs="Times New Roman"/>
      </w:rPr>
    </w:lvl>
    <w:lvl w:ilvl="6" w:tplc="0419000F">
      <w:start w:val="1"/>
      <w:numFmt w:val="decimal"/>
      <w:lvlText w:val="%7."/>
      <w:lvlJc w:val="left"/>
      <w:pPr>
        <w:ind w:left="4718" w:hanging="360"/>
      </w:pPr>
      <w:rPr>
        <w:rFonts w:cs="Times New Roman"/>
      </w:rPr>
    </w:lvl>
    <w:lvl w:ilvl="7" w:tplc="04190019">
      <w:start w:val="1"/>
      <w:numFmt w:val="lowerLetter"/>
      <w:lvlText w:val="%8."/>
      <w:lvlJc w:val="left"/>
      <w:pPr>
        <w:ind w:left="5438" w:hanging="360"/>
      </w:pPr>
      <w:rPr>
        <w:rFonts w:cs="Times New Roman"/>
      </w:rPr>
    </w:lvl>
    <w:lvl w:ilvl="8" w:tplc="0419001B">
      <w:start w:val="1"/>
      <w:numFmt w:val="lowerRoman"/>
      <w:lvlText w:val="%9."/>
      <w:lvlJc w:val="right"/>
      <w:pPr>
        <w:ind w:left="6158" w:hanging="18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y Authorised User">
    <w15:presenceInfo w15:providerId="None" w15:userId="Any Authorised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3B"/>
    <w:rsid w:val="00012A90"/>
    <w:rsid w:val="00012B4C"/>
    <w:rsid w:val="00043314"/>
    <w:rsid w:val="00052E55"/>
    <w:rsid w:val="000570B9"/>
    <w:rsid w:val="00071925"/>
    <w:rsid w:val="0007799E"/>
    <w:rsid w:val="000A1686"/>
    <w:rsid w:val="000E4A35"/>
    <w:rsid w:val="000F4D63"/>
    <w:rsid w:val="000F68E1"/>
    <w:rsid w:val="000F7314"/>
    <w:rsid w:val="001053FB"/>
    <w:rsid w:val="00113EE2"/>
    <w:rsid w:val="0013474C"/>
    <w:rsid w:val="0014289F"/>
    <w:rsid w:val="001522A9"/>
    <w:rsid w:val="001573A6"/>
    <w:rsid w:val="001611EA"/>
    <w:rsid w:val="0017562F"/>
    <w:rsid w:val="001860CB"/>
    <w:rsid w:val="00187600"/>
    <w:rsid w:val="00194A30"/>
    <w:rsid w:val="001A60A2"/>
    <w:rsid w:val="001B2AF7"/>
    <w:rsid w:val="001C01D2"/>
    <w:rsid w:val="001C2BA4"/>
    <w:rsid w:val="001C70E0"/>
    <w:rsid w:val="001C74B0"/>
    <w:rsid w:val="001D0CF2"/>
    <w:rsid w:val="00207E47"/>
    <w:rsid w:val="00215A2E"/>
    <w:rsid w:val="00225B30"/>
    <w:rsid w:val="002301C1"/>
    <w:rsid w:val="00230DCB"/>
    <w:rsid w:val="00231756"/>
    <w:rsid w:val="00240206"/>
    <w:rsid w:val="00251E66"/>
    <w:rsid w:val="00263606"/>
    <w:rsid w:val="0029363B"/>
    <w:rsid w:val="002B4C40"/>
    <w:rsid w:val="002C6CDD"/>
    <w:rsid w:val="0030277F"/>
    <w:rsid w:val="003361FF"/>
    <w:rsid w:val="0037321C"/>
    <w:rsid w:val="003810F0"/>
    <w:rsid w:val="00382BAD"/>
    <w:rsid w:val="00393C65"/>
    <w:rsid w:val="00396B0B"/>
    <w:rsid w:val="003A4C1F"/>
    <w:rsid w:val="003B6545"/>
    <w:rsid w:val="003C7E73"/>
    <w:rsid w:val="00422E18"/>
    <w:rsid w:val="00430370"/>
    <w:rsid w:val="004422C3"/>
    <w:rsid w:val="00452619"/>
    <w:rsid w:val="00455712"/>
    <w:rsid w:val="0046191F"/>
    <w:rsid w:val="00467CE5"/>
    <w:rsid w:val="004755D7"/>
    <w:rsid w:val="00482825"/>
    <w:rsid w:val="00486790"/>
    <w:rsid w:val="004A2745"/>
    <w:rsid w:val="004A3F75"/>
    <w:rsid w:val="004A6B89"/>
    <w:rsid w:val="004C7AB7"/>
    <w:rsid w:val="004D3DCF"/>
    <w:rsid w:val="005066D4"/>
    <w:rsid w:val="00540B6E"/>
    <w:rsid w:val="00542181"/>
    <w:rsid w:val="00556472"/>
    <w:rsid w:val="00564FF4"/>
    <w:rsid w:val="00577C81"/>
    <w:rsid w:val="00585B13"/>
    <w:rsid w:val="005A2DA8"/>
    <w:rsid w:val="005C736C"/>
    <w:rsid w:val="005F4AD1"/>
    <w:rsid w:val="0063033F"/>
    <w:rsid w:val="00644859"/>
    <w:rsid w:val="00657E0E"/>
    <w:rsid w:val="006725D1"/>
    <w:rsid w:val="00675258"/>
    <w:rsid w:val="006B267D"/>
    <w:rsid w:val="006C7E64"/>
    <w:rsid w:val="006E03C2"/>
    <w:rsid w:val="007004B4"/>
    <w:rsid w:val="00702D9F"/>
    <w:rsid w:val="007045F1"/>
    <w:rsid w:val="007210E8"/>
    <w:rsid w:val="00721A57"/>
    <w:rsid w:val="007234D2"/>
    <w:rsid w:val="00730BC8"/>
    <w:rsid w:val="00766511"/>
    <w:rsid w:val="007924CC"/>
    <w:rsid w:val="007B5D5D"/>
    <w:rsid w:val="007E5A98"/>
    <w:rsid w:val="00826A54"/>
    <w:rsid w:val="00840DC0"/>
    <w:rsid w:val="008513F4"/>
    <w:rsid w:val="00851E5B"/>
    <w:rsid w:val="00854DF2"/>
    <w:rsid w:val="00897874"/>
    <w:rsid w:val="008B402E"/>
    <w:rsid w:val="008C1F94"/>
    <w:rsid w:val="008C3076"/>
    <w:rsid w:val="008C4027"/>
    <w:rsid w:val="008F0004"/>
    <w:rsid w:val="00923145"/>
    <w:rsid w:val="00923B48"/>
    <w:rsid w:val="00927AAA"/>
    <w:rsid w:val="00930981"/>
    <w:rsid w:val="00933F6B"/>
    <w:rsid w:val="0094131E"/>
    <w:rsid w:val="009719F4"/>
    <w:rsid w:val="0098744D"/>
    <w:rsid w:val="009A410B"/>
    <w:rsid w:val="009B4A48"/>
    <w:rsid w:val="009B7958"/>
    <w:rsid w:val="009D4702"/>
    <w:rsid w:val="009E13FD"/>
    <w:rsid w:val="00A1760F"/>
    <w:rsid w:val="00A36EE0"/>
    <w:rsid w:val="00A43166"/>
    <w:rsid w:val="00A438FF"/>
    <w:rsid w:val="00A479A0"/>
    <w:rsid w:val="00A525DB"/>
    <w:rsid w:val="00A54CFF"/>
    <w:rsid w:val="00A724ED"/>
    <w:rsid w:val="00A8630B"/>
    <w:rsid w:val="00AE2522"/>
    <w:rsid w:val="00AE5D04"/>
    <w:rsid w:val="00AE60B2"/>
    <w:rsid w:val="00AF5063"/>
    <w:rsid w:val="00AF56F6"/>
    <w:rsid w:val="00B25353"/>
    <w:rsid w:val="00B267BB"/>
    <w:rsid w:val="00B27C9D"/>
    <w:rsid w:val="00B3164C"/>
    <w:rsid w:val="00B60BE8"/>
    <w:rsid w:val="00B63E07"/>
    <w:rsid w:val="00B867F9"/>
    <w:rsid w:val="00BA20F3"/>
    <w:rsid w:val="00BA669C"/>
    <w:rsid w:val="00BC675A"/>
    <w:rsid w:val="00BC78B9"/>
    <w:rsid w:val="00BE3850"/>
    <w:rsid w:val="00BF0C42"/>
    <w:rsid w:val="00BF115A"/>
    <w:rsid w:val="00C12178"/>
    <w:rsid w:val="00C26649"/>
    <w:rsid w:val="00C27C90"/>
    <w:rsid w:val="00C31937"/>
    <w:rsid w:val="00C46942"/>
    <w:rsid w:val="00C60070"/>
    <w:rsid w:val="00CA58F2"/>
    <w:rsid w:val="00CB271B"/>
    <w:rsid w:val="00CC4EDE"/>
    <w:rsid w:val="00CE2293"/>
    <w:rsid w:val="00CF0079"/>
    <w:rsid w:val="00CF7560"/>
    <w:rsid w:val="00D37A6C"/>
    <w:rsid w:val="00D459CE"/>
    <w:rsid w:val="00D46F18"/>
    <w:rsid w:val="00D5247B"/>
    <w:rsid w:val="00D5756E"/>
    <w:rsid w:val="00D74073"/>
    <w:rsid w:val="00DD5AD8"/>
    <w:rsid w:val="00DF7731"/>
    <w:rsid w:val="00E106EA"/>
    <w:rsid w:val="00E2784C"/>
    <w:rsid w:val="00E65B1F"/>
    <w:rsid w:val="00EA55FB"/>
    <w:rsid w:val="00ED4A02"/>
    <w:rsid w:val="00F31B24"/>
    <w:rsid w:val="00F368A8"/>
    <w:rsid w:val="00FB2716"/>
    <w:rsid w:val="00FC104B"/>
    <w:rsid w:val="00FD0765"/>
    <w:rsid w:val="00FD39DC"/>
    <w:rsid w:val="00FD53A7"/>
    <w:rsid w:val="00FE5C43"/>
    <w:rsid w:val="00FE6311"/>
    <w:rsid w:val="00FE66ED"/>
    <w:rsid w:val="00FE6DE1"/>
    <w:rsid w:val="00FE73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63B"/>
    <w:pPr>
      <w:spacing w:after="200" w:line="276" w:lineRule="auto"/>
    </w:pPr>
    <w:rPr>
      <w:rFonts w:eastAsia="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D39DC"/>
    <w:pPr>
      <w:ind w:left="720"/>
    </w:pPr>
  </w:style>
  <w:style w:type="paragraph" w:styleId="a3">
    <w:name w:val="header"/>
    <w:basedOn w:val="a"/>
    <w:link w:val="a4"/>
    <w:rsid w:val="00D459CE"/>
    <w:pPr>
      <w:tabs>
        <w:tab w:val="center" w:pos="4513"/>
        <w:tab w:val="right" w:pos="9026"/>
      </w:tabs>
      <w:spacing w:after="0" w:line="240" w:lineRule="auto"/>
    </w:pPr>
    <w:rPr>
      <w:rFonts w:eastAsia="Calibri"/>
      <w:sz w:val="20"/>
      <w:szCs w:val="20"/>
    </w:rPr>
  </w:style>
  <w:style w:type="character" w:customStyle="1" w:styleId="a4">
    <w:name w:val="Верхний колонтитул Знак"/>
    <w:link w:val="a3"/>
    <w:locked/>
    <w:rsid w:val="00D459CE"/>
    <w:rPr>
      <w:rFonts w:cs="Times New Roman"/>
    </w:rPr>
  </w:style>
  <w:style w:type="paragraph" w:styleId="a5">
    <w:name w:val="footer"/>
    <w:basedOn w:val="a"/>
    <w:link w:val="a6"/>
    <w:rsid w:val="00D459CE"/>
    <w:pPr>
      <w:tabs>
        <w:tab w:val="center" w:pos="4513"/>
        <w:tab w:val="right" w:pos="9026"/>
      </w:tabs>
      <w:spacing w:after="0" w:line="240" w:lineRule="auto"/>
    </w:pPr>
    <w:rPr>
      <w:rFonts w:eastAsia="Calibri"/>
      <w:sz w:val="20"/>
      <w:szCs w:val="20"/>
    </w:rPr>
  </w:style>
  <w:style w:type="character" w:customStyle="1" w:styleId="a6">
    <w:name w:val="Нижний колонтитул Знак"/>
    <w:link w:val="a5"/>
    <w:locked/>
    <w:rsid w:val="00D459CE"/>
    <w:rPr>
      <w:rFonts w:cs="Times New Roman"/>
    </w:rPr>
  </w:style>
  <w:style w:type="paragraph" w:styleId="a7">
    <w:name w:val="footnote text"/>
    <w:basedOn w:val="a"/>
    <w:link w:val="a8"/>
    <w:semiHidden/>
    <w:rsid w:val="001573A6"/>
    <w:pPr>
      <w:spacing w:after="0" w:line="240" w:lineRule="auto"/>
    </w:pPr>
    <w:rPr>
      <w:rFonts w:eastAsia="Calibri"/>
      <w:sz w:val="20"/>
      <w:szCs w:val="20"/>
    </w:rPr>
  </w:style>
  <w:style w:type="character" w:customStyle="1" w:styleId="a8">
    <w:name w:val="Текст сноски Знак"/>
    <w:link w:val="a7"/>
    <w:semiHidden/>
    <w:locked/>
    <w:rsid w:val="001573A6"/>
    <w:rPr>
      <w:rFonts w:cs="Times New Roman"/>
      <w:sz w:val="20"/>
      <w:szCs w:val="20"/>
    </w:rPr>
  </w:style>
  <w:style w:type="character" w:styleId="a9">
    <w:name w:val="footnote reference"/>
    <w:semiHidden/>
    <w:rsid w:val="001573A6"/>
    <w:rPr>
      <w:rFonts w:cs="Times New Roman"/>
      <w:vertAlign w:val="superscript"/>
    </w:rPr>
  </w:style>
  <w:style w:type="character" w:styleId="aa">
    <w:name w:val="page number"/>
    <w:basedOn w:val="a0"/>
    <w:rsid w:val="00644859"/>
  </w:style>
  <w:style w:type="character" w:styleId="ab">
    <w:name w:val="annotation reference"/>
    <w:rsid w:val="00215A2E"/>
    <w:rPr>
      <w:sz w:val="16"/>
      <w:szCs w:val="16"/>
    </w:rPr>
  </w:style>
  <w:style w:type="paragraph" w:styleId="ac">
    <w:name w:val="annotation text"/>
    <w:basedOn w:val="a"/>
    <w:link w:val="ad"/>
    <w:rsid w:val="00215A2E"/>
    <w:rPr>
      <w:sz w:val="20"/>
      <w:szCs w:val="20"/>
    </w:rPr>
  </w:style>
  <w:style w:type="character" w:customStyle="1" w:styleId="ad">
    <w:name w:val="Текст примечания Знак"/>
    <w:link w:val="ac"/>
    <w:rsid w:val="00215A2E"/>
    <w:rPr>
      <w:rFonts w:eastAsia="Times New Roman"/>
      <w:lang w:eastAsia="en-US"/>
    </w:rPr>
  </w:style>
  <w:style w:type="paragraph" w:styleId="ae">
    <w:name w:val="annotation subject"/>
    <w:basedOn w:val="ac"/>
    <w:next w:val="ac"/>
    <w:link w:val="af"/>
    <w:rsid w:val="00215A2E"/>
    <w:rPr>
      <w:b/>
      <w:bCs/>
    </w:rPr>
  </w:style>
  <w:style w:type="character" w:customStyle="1" w:styleId="af">
    <w:name w:val="Тема примечания Знак"/>
    <w:link w:val="ae"/>
    <w:rsid w:val="00215A2E"/>
    <w:rPr>
      <w:rFonts w:eastAsia="Times New Roman"/>
      <w:b/>
      <w:bCs/>
      <w:lang w:eastAsia="en-US"/>
    </w:rPr>
  </w:style>
  <w:style w:type="paragraph" w:styleId="af0">
    <w:name w:val="Balloon Text"/>
    <w:basedOn w:val="a"/>
    <w:link w:val="af1"/>
    <w:rsid w:val="00215A2E"/>
    <w:pPr>
      <w:spacing w:after="0" w:line="240" w:lineRule="auto"/>
    </w:pPr>
    <w:rPr>
      <w:rFonts w:ascii="Tahoma" w:hAnsi="Tahoma"/>
      <w:sz w:val="16"/>
      <w:szCs w:val="16"/>
    </w:rPr>
  </w:style>
  <w:style w:type="character" w:customStyle="1" w:styleId="af1">
    <w:name w:val="Текст выноски Знак"/>
    <w:link w:val="af0"/>
    <w:rsid w:val="00215A2E"/>
    <w:rPr>
      <w:rFonts w:ascii="Tahoma" w:eastAsia="Times New Roman" w:hAnsi="Tahoma" w:cs="Tahoma"/>
      <w:sz w:val="16"/>
      <w:szCs w:val="16"/>
      <w:lang w:eastAsia="en-US"/>
    </w:rPr>
  </w:style>
  <w:style w:type="paragraph" w:styleId="af2">
    <w:name w:val="List Paragraph"/>
    <w:basedOn w:val="a"/>
    <w:uiPriority w:val="34"/>
    <w:qFormat/>
    <w:rsid w:val="00142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63B"/>
    <w:pPr>
      <w:spacing w:after="200" w:line="276" w:lineRule="auto"/>
    </w:pPr>
    <w:rPr>
      <w:rFonts w:eastAsia="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D39DC"/>
    <w:pPr>
      <w:ind w:left="720"/>
    </w:pPr>
  </w:style>
  <w:style w:type="paragraph" w:styleId="a3">
    <w:name w:val="header"/>
    <w:basedOn w:val="a"/>
    <w:link w:val="a4"/>
    <w:rsid w:val="00D459CE"/>
    <w:pPr>
      <w:tabs>
        <w:tab w:val="center" w:pos="4513"/>
        <w:tab w:val="right" w:pos="9026"/>
      </w:tabs>
      <w:spacing w:after="0" w:line="240" w:lineRule="auto"/>
    </w:pPr>
    <w:rPr>
      <w:rFonts w:eastAsia="Calibri"/>
      <w:sz w:val="20"/>
      <w:szCs w:val="20"/>
    </w:rPr>
  </w:style>
  <w:style w:type="character" w:customStyle="1" w:styleId="a4">
    <w:name w:val="Верхний колонтитул Знак"/>
    <w:link w:val="a3"/>
    <w:locked/>
    <w:rsid w:val="00D459CE"/>
    <w:rPr>
      <w:rFonts w:cs="Times New Roman"/>
    </w:rPr>
  </w:style>
  <w:style w:type="paragraph" w:styleId="a5">
    <w:name w:val="footer"/>
    <w:basedOn w:val="a"/>
    <w:link w:val="a6"/>
    <w:rsid w:val="00D459CE"/>
    <w:pPr>
      <w:tabs>
        <w:tab w:val="center" w:pos="4513"/>
        <w:tab w:val="right" w:pos="9026"/>
      </w:tabs>
      <w:spacing w:after="0" w:line="240" w:lineRule="auto"/>
    </w:pPr>
    <w:rPr>
      <w:rFonts w:eastAsia="Calibri"/>
      <w:sz w:val="20"/>
      <w:szCs w:val="20"/>
    </w:rPr>
  </w:style>
  <w:style w:type="character" w:customStyle="1" w:styleId="a6">
    <w:name w:val="Нижний колонтитул Знак"/>
    <w:link w:val="a5"/>
    <w:locked/>
    <w:rsid w:val="00D459CE"/>
    <w:rPr>
      <w:rFonts w:cs="Times New Roman"/>
    </w:rPr>
  </w:style>
  <w:style w:type="paragraph" w:styleId="a7">
    <w:name w:val="footnote text"/>
    <w:basedOn w:val="a"/>
    <w:link w:val="a8"/>
    <w:semiHidden/>
    <w:rsid w:val="001573A6"/>
    <w:pPr>
      <w:spacing w:after="0" w:line="240" w:lineRule="auto"/>
    </w:pPr>
    <w:rPr>
      <w:rFonts w:eastAsia="Calibri"/>
      <w:sz w:val="20"/>
      <w:szCs w:val="20"/>
    </w:rPr>
  </w:style>
  <w:style w:type="character" w:customStyle="1" w:styleId="a8">
    <w:name w:val="Текст сноски Знак"/>
    <w:link w:val="a7"/>
    <w:semiHidden/>
    <w:locked/>
    <w:rsid w:val="001573A6"/>
    <w:rPr>
      <w:rFonts w:cs="Times New Roman"/>
      <w:sz w:val="20"/>
      <w:szCs w:val="20"/>
    </w:rPr>
  </w:style>
  <w:style w:type="character" w:styleId="a9">
    <w:name w:val="footnote reference"/>
    <w:semiHidden/>
    <w:rsid w:val="001573A6"/>
    <w:rPr>
      <w:rFonts w:cs="Times New Roman"/>
      <w:vertAlign w:val="superscript"/>
    </w:rPr>
  </w:style>
  <w:style w:type="character" w:styleId="aa">
    <w:name w:val="page number"/>
    <w:basedOn w:val="a0"/>
    <w:rsid w:val="00644859"/>
  </w:style>
  <w:style w:type="character" w:styleId="ab">
    <w:name w:val="annotation reference"/>
    <w:rsid w:val="00215A2E"/>
    <w:rPr>
      <w:sz w:val="16"/>
      <w:szCs w:val="16"/>
    </w:rPr>
  </w:style>
  <w:style w:type="paragraph" w:styleId="ac">
    <w:name w:val="annotation text"/>
    <w:basedOn w:val="a"/>
    <w:link w:val="ad"/>
    <w:rsid w:val="00215A2E"/>
    <w:rPr>
      <w:sz w:val="20"/>
      <w:szCs w:val="20"/>
    </w:rPr>
  </w:style>
  <w:style w:type="character" w:customStyle="1" w:styleId="ad">
    <w:name w:val="Текст примечания Знак"/>
    <w:link w:val="ac"/>
    <w:rsid w:val="00215A2E"/>
    <w:rPr>
      <w:rFonts w:eastAsia="Times New Roman"/>
      <w:lang w:eastAsia="en-US"/>
    </w:rPr>
  </w:style>
  <w:style w:type="paragraph" w:styleId="ae">
    <w:name w:val="annotation subject"/>
    <w:basedOn w:val="ac"/>
    <w:next w:val="ac"/>
    <w:link w:val="af"/>
    <w:rsid w:val="00215A2E"/>
    <w:rPr>
      <w:b/>
      <w:bCs/>
    </w:rPr>
  </w:style>
  <w:style w:type="character" w:customStyle="1" w:styleId="af">
    <w:name w:val="Тема примечания Знак"/>
    <w:link w:val="ae"/>
    <w:rsid w:val="00215A2E"/>
    <w:rPr>
      <w:rFonts w:eastAsia="Times New Roman"/>
      <w:b/>
      <w:bCs/>
      <w:lang w:eastAsia="en-US"/>
    </w:rPr>
  </w:style>
  <w:style w:type="paragraph" w:styleId="af0">
    <w:name w:val="Balloon Text"/>
    <w:basedOn w:val="a"/>
    <w:link w:val="af1"/>
    <w:rsid w:val="00215A2E"/>
    <w:pPr>
      <w:spacing w:after="0" w:line="240" w:lineRule="auto"/>
    </w:pPr>
    <w:rPr>
      <w:rFonts w:ascii="Tahoma" w:hAnsi="Tahoma"/>
      <w:sz w:val="16"/>
      <w:szCs w:val="16"/>
    </w:rPr>
  </w:style>
  <w:style w:type="character" w:customStyle="1" w:styleId="af1">
    <w:name w:val="Текст выноски Знак"/>
    <w:link w:val="af0"/>
    <w:rsid w:val="00215A2E"/>
    <w:rPr>
      <w:rFonts w:ascii="Tahoma" w:eastAsia="Times New Roman" w:hAnsi="Tahoma" w:cs="Tahoma"/>
      <w:sz w:val="16"/>
      <w:szCs w:val="16"/>
      <w:lang w:eastAsia="en-US"/>
    </w:rPr>
  </w:style>
  <w:style w:type="paragraph" w:styleId="af2">
    <w:name w:val="List Paragraph"/>
    <w:basedOn w:val="a"/>
    <w:uiPriority w:val="34"/>
    <w:qFormat/>
    <w:rsid w:val="0014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8239">
      <w:bodyDiv w:val="1"/>
      <w:marLeft w:val="0"/>
      <w:marRight w:val="0"/>
      <w:marTop w:val="0"/>
      <w:marBottom w:val="0"/>
      <w:divBdr>
        <w:top w:val="none" w:sz="0" w:space="0" w:color="auto"/>
        <w:left w:val="none" w:sz="0" w:space="0" w:color="auto"/>
        <w:bottom w:val="none" w:sz="0" w:space="0" w:color="auto"/>
        <w:right w:val="none" w:sz="0" w:space="0" w:color="auto"/>
      </w:divBdr>
    </w:div>
    <w:div w:id="1474709656">
      <w:bodyDiv w:val="1"/>
      <w:marLeft w:val="0"/>
      <w:marRight w:val="0"/>
      <w:marTop w:val="0"/>
      <w:marBottom w:val="0"/>
      <w:divBdr>
        <w:top w:val="none" w:sz="0" w:space="0" w:color="auto"/>
        <w:left w:val="none" w:sz="0" w:space="0" w:color="auto"/>
        <w:bottom w:val="none" w:sz="0" w:space="0" w:color="auto"/>
        <w:right w:val="none" w:sz="0" w:space="0" w:color="auto"/>
      </w:divBdr>
    </w:div>
    <w:div w:id="19243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2150</Words>
  <Characters>12258</Characters>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Настоящий Базовый стандарт совершения операций на финансовом рынке членами саморегулируемых организаций в сфере финансового рынка, объединяющих брокеров/дилеров, разработан на основании части 3 статьи 5 Федерального закона от 13 июля 2015 года №223-ФЗ «О</vt:lpstr>
      <vt:lpstr>Настоящий Базовый стандарт совершения операций на финансовом рынке членами саморегулируемых организаций в сфере финансового рынка, объединяющих брокеров/дилеров, разработан на основании части 3 статьи 5 Федерального закона от 13 июля 2015 года №223-ФЗ «О</vt:lpstr>
    </vt:vector>
  </TitlesOfParts>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2018-03-07T10:26:00Z</cp:lastPrinted>
  <dcterms:created xsi:type="dcterms:W3CDTF">2018-11-14T07:01:00Z</dcterms:created>
  <dcterms:modified xsi:type="dcterms:W3CDTF">2018-11-14T07:01:00Z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10653672</vt:lpwstr>
  </property>
  <property fmtid="{D5CDD505-2E9C-101B-9397-08002B2CF9AE}" pid="3" name="DEDocumentLocation">
    <vt:lpwstr>C:\Users\vspirin\AppData\Local\Linklaters\DocExplorer\Attachments\A35922858 v4.0 БС Деривативы_Пятый проект.docx</vt:lpwstr>
  </property>
  <property fmtid="{D5CDD505-2E9C-101B-9397-08002B2CF9AE}" pid="4" name="Document Number">
    <vt:lpwstr>A35922858</vt:lpwstr>
  </property>
  <property fmtid="{D5CDD505-2E9C-101B-9397-08002B2CF9AE}" pid="5" name="Last Modified">
    <vt:lpwstr>17 Apr 2018</vt:lpwstr>
  </property>
  <property fmtid="{D5CDD505-2E9C-101B-9397-08002B2CF9AE}" pid="6" name="Matter Number">
    <vt:lpwstr>L-262983</vt:lpwstr>
  </property>
  <property fmtid="{D5CDD505-2E9C-101B-9397-08002B2CF9AE}" pid="7" name="Mode">
    <vt:lpwstr>SendAs</vt:lpwstr>
  </property>
  <property fmtid="{D5CDD505-2E9C-101B-9397-08002B2CF9AE}" pid="8" name="Version">
    <vt:lpwstr>4.0</vt:lpwstr>
  </property>
  <property fmtid="{D5CDD505-2E9C-101B-9397-08002B2CF9AE}" pid="9" name="ObjectID">
    <vt:lpwstr>09001dc891b842de</vt:lpwstr>
  </property>
</Properties>
</file>