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21323" w14:textId="71F1E579" w:rsidR="005C3B83" w:rsidRDefault="005C3B83" w:rsidP="005C3B83">
      <w:pPr>
        <w:tabs>
          <w:tab w:val="left" w:pos="992"/>
          <w:tab w:val="center" w:pos="4677"/>
        </w:tabs>
        <w:spacing w:after="0"/>
        <w:rPr>
          <w:b/>
          <w:szCs w:val="24"/>
        </w:rPr>
      </w:pPr>
      <w:r>
        <w:rPr>
          <w:b/>
          <w:szCs w:val="24"/>
        </w:rPr>
        <w:tab/>
      </w:r>
      <w:r>
        <w:rPr>
          <w:b/>
          <w:szCs w:val="24"/>
        </w:rPr>
        <w:tab/>
        <w:t>Учебно-тематический план курса</w:t>
      </w:r>
    </w:p>
    <w:p w14:paraId="62F4F01E" w14:textId="77777777" w:rsidR="005C3B83" w:rsidRDefault="005C3B83" w:rsidP="005C3B83">
      <w:pPr>
        <w:spacing w:before="0" w:after="0"/>
        <w:jc w:val="center"/>
        <w:rPr>
          <w:szCs w:val="24"/>
        </w:rPr>
      </w:pPr>
      <w:r>
        <w:rPr>
          <w:b/>
          <w:szCs w:val="24"/>
        </w:rPr>
        <w:t>«</w:t>
      </w:r>
      <w:r w:rsidRPr="000A1C6C">
        <w:rPr>
          <w:b/>
          <w:szCs w:val="24"/>
        </w:rPr>
        <w:t>Специализированны</w:t>
      </w:r>
      <w:r>
        <w:rPr>
          <w:b/>
          <w:szCs w:val="24"/>
        </w:rPr>
        <w:t>й</w:t>
      </w:r>
      <w:r w:rsidRPr="000A1C6C">
        <w:rPr>
          <w:b/>
          <w:szCs w:val="24"/>
        </w:rPr>
        <w:t xml:space="preserve"> депозитари</w:t>
      </w:r>
      <w:r>
        <w:rPr>
          <w:b/>
          <w:szCs w:val="24"/>
        </w:rPr>
        <w:t>й</w:t>
      </w:r>
      <w:r w:rsidRPr="000A1C6C">
        <w:rPr>
          <w:b/>
          <w:szCs w:val="24"/>
        </w:rPr>
        <w:t xml:space="preserve"> как ключевой элемент </w:t>
      </w:r>
      <w:r>
        <w:rPr>
          <w:b/>
          <w:szCs w:val="24"/>
        </w:rPr>
        <w:t xml:space="preserve">в </w:t>
      </w:r>
      <w:r w:rsidRPr="000A1C6C">
        <w:rPr>
          <w:b/>
          <w:szCs w:val="24"/>
        </w:rPr>
        <w:t>систем</w:t>
      </w:r>
      <w:r>
        <w:rPr>
          <w:b/>
          <w:szCs w:val="24"/>
        </w:rPr>
        <w:t>е</w:t>
      </w:r>
      <w:r w:rsidRPr="000A1C6C">
        <w:rPr>
          <w:b/>
          <w:szCs w:val="24"/>
        </w:rPr>
        <w:t xml:space="preserve"> контроля</w:t>
      </w:r>
      <w:r>
        <w:rPr>
          <w:b/>
          <w:szCs w:val="24"/>
        </w:rPr>
        <w:t xml:space="preserve"> и учета</w:t>
      </w:r>
      <w:r w:rsidRPr="000A1C6C">
        <w:rPr>
          <w:b/>
          <w:szCs w:val="24"/>
        </w:rPr>
        <w:t xml:space="preserve"> </w:t>
      </w:r>
      <w:r>
        <w:rPr>
          <w:b/>
          <w:szCs w:val="24"/>
        </w:rPr>
        <w:t>при управлении активами</w:t>
      </w:r>
      <w:r w:rsidRPr="000A1C6C">
        <w:rPr>
          <w:b/>
          <w:szCs w:val="24"/>
        </w:rPr>
        <w:t>:</w:t>
      </w:r>
      <w:r>
        <w:rPr>
          <w:b/>
          <w:szCs w:val="24"/>
        </w:rPr>
        <w:t xml:space="preserve"> участники отношений, их особенности, </w:t>
      </w:r>
      <w:r w:rsidRPr="000A1C6C">
        <w:rPr>
          <w:b/>
          <w:szCs w:val="24"/>
        </w:rPr>
        <w:t xml:space="preserve">правовое регулирование, основы технологий </w:t>
      </w:r>
      <w:proofErr w:type="spellStart"/>
      <w:r>
        <w:rPr>
          <w:b/>
          <w:szCs w:val="24"/>
        </w:rPr>
        <w:t>спецдепозитарного</w:t>
      </w:r>
      <w:proofErr w:type="spellEnd"/>
      <w:r>
        <w:rPr>
          <w:b/>
          <w:szCs w:val="24"/>
        </w:rPr>
        <w:t xml:space="preserve"> </w:t>
      </w:r>
      <w:r w:rsidRPr="000A1C6C">
        <w:rPr>
          <w:b/>
          <w:szCs w:val="24"/>
        </w:rPr>
        <w:t>обслуживания</w:t>
      </w:r>
      <w:r>
        <w:rPr>
          <w:szCs w:val="24"/>
        </w:rPr>
        <w:t>».</w:t>
      </w:r>
    </w:p>
    <w:p w14:paraId="69AC96E6" w14:textId="77777777" w:rsidR="005C3B83" w:rsidRDefault="005C3B83" w:rsidP="005C3B83">
      <w:pPr>
        <w:spacing w:after="0"/>
        <w:jc w:val="cente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5C3B83" w14:paraId="364CB7BB" w14:textId="77777777" w:rsidTr="00383700">
        <w:tc>
          <w:tcPr>
            <w:tcW w:w="9237" w:type="dxa"/>
            <w:shd w:val="clear" w:color="auto" w:fill="auto"/>
          </w:tcPr>
          <w:p w14:paraId="1D25D3E4" w14:textId="77777777" w:rsidR="005C3B83" w:rsidRPr="00217405" w:rsidRDefault="005C3B83" w:rsidP="005C3B83">
            <w:pPr>
              <w:pStyle w:val="a4"/>
              <w:numPr>
                <w:ilvl w:val="0"/>
                <w:numId w:val="1"/>
              </w:numPr>
              <w:spacing w:after="0" w:line="240" w:lineRule="auto"/>
              <w:ind w:left="318" w:hanging="318"/>
              <w:jc w:val="both"/>
              <w:rPr>
                <w:rFonts w:ascii="Times New Roman" w:hAnsi="Times New Roman"/>
                <w:b/>
                <w:sz w:val="24"/>
                <w:szCs w:val="24"/>
              </w:rPr>
            </w:pPr>
            <w:r w:rsidRPr="00217405">
              <w:rPr>
                <w:rFonts w:ascii="Times New Roman" w:hAnsi="Times New Roman"/>
                <w:b/>
                <w:sz w:val="24"/>
                <w:szCs w:val="24"/>
              </w:rPr>
              <w:t>Сущность и правовые основы деятельности специализированного депозитария</w:t>
            </w:r>
            <w:r w:rsidRPr="00217405">
              <w:rPr>
                <w:rFonts w:ascii="Times New Roman" w:hAnsi="Times New Roman"/>
                <w:sz w:val="24"/>
                <w:szCs w:val="24"/>
              </w:rPr>
              <w:t xml:space="preserve"> </w:t>
            </w:r>
            <w:r w:rsidRPr="00217405">
              <w:rPr>
                <w:rFonts w:ascii="Times New Roman" w:hAnsi="Times New Roman"/>
                <w:b/>
                <w:sz w:val="24"/>
                <w:szCs w:val="24"/>
              </w:rPr>
              <w:t>(4 часа)</w:t>
            </w:r>
          </w:p>
          <w:p w14:paraId="4F3E9F9A" w14:textId="77777777" w:rsidR="005C3B83" w:rsidRPr="00217405" w:rsidRDefault="005C3B83" w:rsidP="005C3B83">
            <w:pPr>
              <w:pStyle w:val="a4"/>
              <w:numPr>
                <w:ilvl w:val="1"/>
                <w:numId w:val="1"/>
              </w:numPr>
              <w:spacing w:after="0" w:line="240" w:lineRule="auto"/>
              <w:jc w:val="both"/>
              <w:rPr>
                <w:rFonts w:ascii="Times New Roman" w:hAnsi="Times New Roman"/>
                <w:sz w:val="24"/>
                <w:szCs w:val="24"/>
              </w:rPr>
            </w:pPr>
            <w:r w:rsidRPr="00217405">
              <w:rPr>
                <w:rFonts w:ascii="Times New Roman" w:hAnsi="Times New Roman"/>
                <w:sz w:val="24"/>
                <w:szCs w:val="24"/>
              </w:rPr>
              <w:t>Хранение имущества, его учет, контроль использования и (или) соблюдения нормативов в отношении паевых инвестиционных фондов, негосударственных пенсионных фондов, страховых организаций, компенсационных фондов саморегулируемых организаций, ипотечного покрытия – основные функции специализированного депозитария.</w:t>
            </w:r>
          </w:p>
          <w:p w14:paraId="307DC59E" w14:textId="77777777" w:rsidR="005C3B83" w:rsidRPr="00217405" w:rsidRDefault="005C3B83" w:rsidP="005C3B83">
            <w:pPr>
              <w:pStyle w:val="a4"/>
              <w:numPr>
                <w:ilvl w:val="1"/>
                <w:numId w:val="1"/>
              </w:numPr>
              <w:spacing w:after="0" w:line="240" w:lineRule="auto"/>
              <w:jc w:val="both"/>
              <w:rPr>
                <w:rFonts w:ascii="Times New Roman" w:hAnsi="Times New Roman"/>
                <w:sz w:val="24"/>
                <w:szCs w:val="24"/>
              </w:rPr>
            </w:pPr>
            <w:r w:rsidRPr="00217405">
              <w:rPr>
                <w:rFonts w:ascii="Times New Roman" w:hAnsi="Times New Roman"/>
                <w:sz w:val="24"/>
                <w:szCs w:val="24"/>
              </w:rPr>
              <w:t>Оказание специализированным депозитарием стандартных депозитарных услуг в качестве профессионального участника рынка ценных бумаг, осуществляющего депозитарную деятельность.</w:t>
            </w:r>
          </w:p>
          <w:p w14:paraId="6412FCBD" w14:textId="77777777" w:rsidR="005C3B83" w:rsidRPr="00217405" w:rsidRDefault="005C3B83" w:rsidP="005C3B83">
            <w:pPr>
              <w:pStyle w:val="a4"/>
              <w:numPr>
                <w:ilvl w:val="1"/>
                <w:numId w:val="1"/>
              </w:numPr>
              <w:spacing w:after="0" w:line="240" w:lineRule="auto"/>
              <w:jc w:val="both"/>
              <w:rPr>
                <w:rFonts w:ascii="Times New Roman" w:hAnsi="Times New Roman"/>
                <w:sz w:val="24"/>
                <w:szCs w:val="24"/>
              </w:rPr>
            </w:pPr>
            <w:r w:rsidRPr="00217405">
              <w:rPr>
                <w:rFonts w:ascii="Times New Roman" w:hAnsi="Times New Roman"/>
                <w:sz w:val="24"/>
                <w:szCs w:val="24"/>
              </w:rPr>
              <w:t>Правовое регулирование специализированного депозитария в соответствии с Федеральным законом «Об инвестиционных фондах», Федеральным законом «О негосударственных пенсионных фондах», Федеральным законом «Об организации страхового дела в Российской Федерации», Федеральным законом «Об ипотечных ценных бумагах», другими нормативными правовыми актами Российской Федерации, включая нормативные акты Банка России:</w:t>
            </w:r>
          </w:p>
          <w:p w14:paraId="4776BD4B" w14:textId="77777777" w:rsidR="005C3B83" w:rsidRPr="00217405" w:rsidRDefault="005C3B83" w:rsidP="005C3B83">
            <w:pPr>
              <w:pStyle w:val="a4"/>
              <w:numPr>
                <w:ilvl w:val="0"/>
                <w:numId w:val="4"/>
              </w:numPr>
              <w:spacing w:after="0" w:line="240" w:lineRule="auto"/>
              <w:ind w:left="1168" w:hanging="283"/>
              <w:jc w:val="both"/>
              <w:rPr>
                <w:rFonts w:ascii="Times New Roman" w:hAnsi="Times New Roman"/>
                <w:sz w:val="24"/>
                <w:szCs w:val="24"/>
              </w:rPr>
            </w:pPr>
            <w:r w:rsidRPr="00217405">
              <w:rPr>
                <w:rFonts w:ascii="Times New Roman" w:hAnsi="Times New Roman"/>
                <w:sz w:val="24"/>
                <w:szCs w:val="24"/>
              </w:rPr>
              <w:t>обязанности специализированного депозитария;</w:t>
            </w:r>
          </w:p>
          <w:p w14:paraId="3148CFE5" w14:textId="77777777" w:rsidR="005C3B83" w:rsidRPr="00217405" w:rsidRDefault="005C3B83" w:rsidP="005C3B83">
            <w:pPr>
              <w:pStyle w:val="a4"/>
              <w:numPr>
                <w:ilvl w:val="0"/>
                <w:numId w:val="4"/>
              </w:numPr>
              <w:spacing w:after="0" w:line="240" w:lineRule="auto"/>
              <w:ind w:left="1168" w:hanging="283"/>
              <w:jc w:val="both"/>
              <w:rPr>
                <w:rFonts w:ascii="Times New Roman" w:hAnsi="Times New Roman"/>
                <w:sz w:val="24"/>
                <w:szCs w:val="24"/>
              </w:rPr>
            </w:pPr>
            <w:r w:rsidRPr="00217405">
              <w:rPr>
                <w:rFonts w:ascii="Times New Roman" w:hAnsi="Times New Roman"/>
                <w:sz w:val="24"/>
                <w:szCs w:val="24"/>
              </w:rPr>
              <w:t>совмещение деятельности специализированного депозитария с другими видами деятельности;</w:t>
            </w:r>
          </w:p>
          <w:p w14:paraId="515C6260" w14:textId="77777777" w:rsidR="005C3B83" w:rsidRPr="00217405" w:rsidRDefault="005C3B83" w:rsidP="005C3B83">
            <w:pPr>
              <w:pStyle w:val="a4"/>
              <w:numPr>
                <w:ilvl w:val="0"/>
                <w:numId w:val="4"/>
              </w:numPr>
              <w:spacing w:after="0" w:line="240" w:lineRule="auto"/>
              <w:ind w:left="1168" w:hanging="283"/>
              <w:jc w:val="both"/>
              <w:rPr>
                <w:rFonts w:ascii="Times New Roman" w:hAnsi="Times New Roman"/>
                <w:sz w:val="24"/>
                <w:szCs w:val="24"/>
              </w:rPr>
            </w:pPr>
            <w:r w:rsidRPr="00217405">
              <w:rPr>
                <w:rFonts w:ascii="Times New Roman" w:hAnsi="Times New Roman"/>
                <w:sz w:val="24"/>
                <w:szCs w:val="24"/>
              </w:rPr>
              <w:t>требования к порядку осуществления функций специализированного депозитария;</w:t>
            </w:r>
          </w:p>
          <w:p w14:paraId="6036E313" w14:textId="77777777" w:rsidR="005C3B83" w:rsidRPr="00217405" w:rsidRDefault="005C3B83" w:rsidP="005C3B83">
            <w:pPr>
              <w:pStyle w:val="a4"/>
              <w:numPr>
                <w:ilvl w:val="0"/>
                <w:numId w:val="4"/>
              </w:numPr>
              <w:spacing w:after="0" w:line="240" w:lineRule="auto"/>
              <w:ind w:left="1168" w:hanging="283"/>
              <w:jc w:val="both"/>
              <w:rPr>
                <w:rFonts w:ascii="Times New Roman" w:hAnsi="Times New Roman"/>
                <w:sz w:val="24"/>
                <w:szCs w:val="24"/>
              </w:rPr>
            </w:pPr>
            <w:r w:rsidRPr="00217405">
              <w:rPr>
                <w:rFonts w:ascii="Times New Roman" w:hAnsi="Times New Roman"/>
                <w:sz w:val="24"/>
                <w:szCs w:val="24"/>
              </w:rPr>
              <w:t>краткий обзор лицензионных требований и условий;</w:t>
            </w:r>
          </w:p>
          <w:p w14:paraId="34B246D1" w14:textId="77777777" w:rsidR="005C3B83" w:rsidRPr="00217405" w:rsidRDefault="005C3B83" w:rsidP="005C3B83">
            <w:pPr>
              <w:pStyle w:val="a4"/>
              <w:numPr>
                <w:ilvl w:val="0"/>
                <w:numId w:val="4"/>
              </w:numPr>
              <w:spacing w:after="0" w:line="240" w:lineRule="auto"/>
              <w:ind w:left="1168" w:hanging="283"/>
              <w:jc w:val="both"/>
              <w:rPr>
                <w:rFonts w:ascii="Times New Roman" w:hAnsi="Times New Roman"/>
                <w:sz w:val="24"/>
                <w:szCs w:val="24"/>
              </w:rPr>
            </w:pPr>
            <w:r w:rsidRPr="00217405">
              <w:rPr>
                <w:rFonts w:ascii="Times New Roman" w:hAnsi="Times New Roman"/>
                <w:sz w:val="24"/>
                <w:szCs w:val="24"/>
              </w:rPr>
              <w:t>квалификационные требования и требования к деловой репутации должностных лиц специализированного депозитария;</w:t>
            </w:r>
          </w:p>
          <w:p w14:paraId="36537D85" w14:textId="77777777" w:rsidR="005C3B83" w:rsidRPr="00217405" w:rsidRDefault="005C3B83" w:rsidP="005C3B83">
            <w:pPr>
              <w:pStyle w:val="a4"/>
              <w:numPr>
                <w:ilvl w:val="0"/>
                <w:numId w:val="4"/>
              </w:numPr>
              <w:spacing w:after="0" w:line="240" w:lineRule="auto"/>
              <w:ind w:left="1168" w:hanging="283"/>
              <w:jc w:val="both"/>
              <w:rPr>
                <w:rFonts w:ascii="Times New Roman" w:hAnsi="Times New Roman"/>
                <w:sz w:val="24"/>
                <w:szCs w:val="24"/>
              </w:rPr>
            </w:pPr>
            <w:r w:rsidRPr="00217405">
              <w:rPr>
                <w:rFonts w:ascii="Times New Roman" w:hAnsi="Times New Roman"/>
                <w:sz w:val="24"/>
                <w:szCs w:val="24"/>
              </w:rPr>
              <w:t>внутренний контроль специализированного депозитария;</w:t>
            </w:r>
          </w:p>
          <w:p w14:paraId="3C0316A2" w14:textId="77777777" w:rsidR="005C3B83" w:rsidRPr="00217405" w:rsidRDefault="005C3B83" w:rsidP="005C3B83">
            <w:pPr>
              <w:pStyle w:val="a4"/>
              <w:numPr>
                <w:ilvl w:val="0"/>
                <w:numId w:val="4"/>
              </w:numPr>
              <w:spacing w:after="0" w:line="240" w:lineRule="auto"/>
              <w:ind w:left="1168" w:hanging="283"/>
              <w:jc w:val="both"/>
              <w:rPr>
                <w:rFonts w:ascii="Times New Roman" w:hAnsi="Times New Roman"/>
                <w:sz w:val="24"/>
                <w:szCs w:val="24"/>
              </w:rPr>
            </w:pPr>
            <w:r w:rsidRPr="00217405">
              <w:rPr>
                <w:rFonts w:ascii="Times New Roman" w:hAnsi="Times New Roman"/>
                <w:sz w:val="24"/>
                <w:szCs w:val="24"/>
              </w:rPr>
              <w:t>требования к системе учета и порядку ее ведения;</w:t>
            </w:r>
          </w:p>
          <w:p w14:paraId="5D880AFC" w14:textId="77777777" w:rsidR="005C3B83" w:rsidRPr="00217405" w:rsidRDefault="005C3B83" w:rsidP="005C3B83">
            <w:pPr>
              <w:pStyle w:val="a4"/>
              <w:numPr>
                <w:ilvl w:val="0"/>
                <w:numId w:val="4"/>
              </w:numPr>
              <w:spacing w:after="0" w:line="240" w:lineRule="auto"/>
              <w:ind w:left="1168" w:hanging="283"/>
              <w:jc w:val="both"/>
              <w:rPr>
                <w:rFonts w:ascii="Times New Roman" w:hAnsi="Times New Roman"/>
                <w:sz w:val="24"/>
                <w:szCs w:val="24"/>
              </w:rPr>
            </w:pPr>
            <w:r w:rsidRPr="00217405">
              <w:rPr>
                <w:rFonts w:ascii="Times New Roman" w:hAnsi="Times New Roman"/>
                <w:sz w:val="24"/>
                <w:szCs w:val="24"/>
              </w:rPr>
              <w:t>раскрытие информации специализированным депозитарием.</w:t>
            </w:r>
          </w:p>
          <w:p w14:paraId="471A3FFC" w14:textId="77777777" w:rsidR="005C3B83" w:rsidRPr="00217405" w:rsidRDefault="005C3B83" w:rsidP="005C3B83">
            <w:pPr>
              <w:pStyle w:val="a4"/>
              <w:numPr>
                <w:ilvl w:val="1"/>
                <w:numId w:val="1"/>
              </w:numPr>
              <w:spacing w:after="0" w:line="240" w:lineRule="auto"/>
              <w:jc w:val="both"/>
              <w:rPr>
                <w:rFonts w:ascii="Times New Roman" w:hAnsi="Times New Roman"/>
                <w:sz w:val="24"/>
                <w:szCs w:val="24"/>
              </w:rPr>
            </w:pPr>
            <w:r w:rsidRPr="00217405">
              <w:rPr>
                <w:rFonts w:ascii="Times New Roman" w:hAnsi="Times New Roman"/>
                <w:sz w:val="24"/>
                <w:szCs w:val="24"/>
              </w:rPr>
              <w:t>Регламенты специализированного депозитария (по видам деятельности).</w:t>
            </w:r>
          </w:p>
          <w:p w14:paraId="5515899A" w14:textId="77777777" w:rsidR="005C3B83" w:rsidRPr="00217405" w:rsidRDefault="005C3B83" w:rsidP="005C3B83">
            <w:pPr>
              <w:pStyle w:val="a4"/>
              <w:numPr>
                <w:ilvl w:val="1"/>
                <w:numId w:val="1"/>
              </w:numPr>
              <w:spacing w:after="0" w:line="240" w:lineRule="auto"/>
              <w:jc w:val="both"/>
              <w:rPr>
                <w:rFonts w:ascii="Times New Roman" w:hAnsi="Times New Roman"/>
                <w:sz w:val="24"/>
                <w:szCs w:val="24"/>
              </w:rPr>
            </w:pPr>
            <w:r w:rsidRPr="00217405">
              <w:rPr>
                <w:rFonts w:ascii="Times New Roman" w:hAnsi="Times New Roman"/>
                <w:sz w:val="24"/>
                <w:szCs w:val="24"/>
              </w:rPr>
              <w:t>Действия специализированного депозитария в случае выявления нарушений при осуществлении контрольных функций.</w:t>
            </w:r>
          </w:p>
        </w:tc>
      </w:tr>
      <w:tr w:rsidR="005C3B83" w14:paraId="5E4296D2" w14:textId="77777777" w:rsidTr="00383700">
        <w:tc>
          <w:tcPr>
            <w:tcW w:w="9237" w:type="dxa"/>
            <w:shd w:val="clear" w:color="auto" w:fill="auto"/>
          </w:tcPr>
          <w:p w14:paraId="38315228" w14:textId="77777777" w:rsidR="005C3B83" w:rsidRPr="00217405" w:rsidRDefault="005C3B83" w:rsidP="005C3B83">
            <w:pPr>
              <w:pStyle w:val="a4"/>
              <w:numPr>
                <w:ilvl w:val="0"/>
                <w:numId w:val="1"/>
              </w:numPr>
              <w:spacing w:after="0" w:line="240" w:lineRule="auto"/>
              <w:ind w:left="318" w:hanging="318"/>
              <w:jc w:val="both"/>
              <w:rPr>
                <w:rFonts w:ascii="Times New Roman" w:hAnsi="Times New Roman"/>
                <w:b/>
                <w:sz w:val="24"/>
                <w:szCs w:val="24"/>
              </w:rPr>
            </w:pPr>
            <w:r w:rsidRPr="00217405">
              <w:rPr>
                <w:rFonts w:ascii="Times New Roman" w:hAnsi="Times New Roman"/>
                <w:b/>
                <w:sz w:val="24"/>
                <w:szCs w:val="24"/>
              </w:rPr>
              <w:t>Паевые инвестиционные фонды и функции специализированного депозитария (16 часов).</w:t>
            </w:r>
          </w:p>
          <w:p w14:paraId="57299E79" w14:textId="77777777" w:rsidR="005C3B83" w:rsidRPr="00217405" w:rsidRDefault="005C3B83" w:rsidP="005C3B83">
            <w:pPr>
              <w:pStyle w:val="a4"/>
              <w:numPr>
                <w:ilvl w:val="1"/>
                <w:numId w:val="1"/>
              </w:numPr>
              <w:spacing w:after="0" w:line="240" w:lineRule="auto"/>
              <w:ind w:hanging="534"/>
              <w:jc w:val="both"/>
              <w:rPr>
                <w:rFonts w:ascii="Times New Roman" w:hAnsi="Times New Roman"/>
                <w:sz w:val="24"/>
                <w:szCs w:val="24"/>
              </w:rPr>
            </w:pPr>
            <w:r w:rsidRPr="00217405">
              <w:rPr>
                <w:rFonts w:ascii="Times New Roman" w:hAnsi="Times New Roman"/>
                <w:sz w:val="24"/>
                <w:szCs w:val="24"/>
              </w:rPr>
              <w:t>Паевой инвестиционный фонд.</w:t>
            </w:r>
          </w:p>
          <w:p w14:paraId="72B16EE8" w14:textId="77777777" w:rsidR="005C3B83" w:rsidRPr="00217405" w:rsidRDefault="005C3B83" w:rsidP="005C3B83">
            <w:pPr>
              <w:pStyle w:val="ConsPlusNormal"/>
              <w:numPr>
                <w:ilvl w:val="0"/>
                <w:numId w:val="5"/>
              </w:numPr>
              <w:jc w:val="both"/>
              <w:rPr>
                <w:rFonts w:ascii="Times New Roman" w:hAnsi="Times New Roman" w:cs="Times New Roman"/>
                <w:sz w:val="24"/>
                <w:szCs w:val="24"/>
              </w:rPr>
            </w:pPr>
            <w:r w:rsidRPr="00217405">
              <w:rPr>
                <w:rFonts w:ascii="Times New Roman" w:hAnsi="Times New Roman" w:cs="Times New Roman"/>
                <w:sz w:val="24"/>
                <w:szCs w:val="24"/>
              </w:rPr>
              <w:t>Понятие паевого инвестиционного фонда. Типы паевых инвестиционных фондов: открытые, биржевые, интервальные и закрытые.</w:t>
            </w:r>
          </w:p>
          <w:p w14:paraId="1BF8AA27" w14:textId="77777777" w:rsidR="005C3B83" w:rsidRPr="00217405" w:rsidRDefault="005C3B83" w:rsidP="005C3B83">
            <w:pPr>
              <w:pStyle w:val="ConsPlusNormal"/>
              <w:numPr>
                <w:ilvl w:val="0"/>
                <w:numId w:val="5"/>
              </w:numPr>
              <w:jc w:val="both"/>
              <w:rPr>
                <w:rFonts w:ascii="Times New Roman" w:hAnsi="Times New Roman" w:cs="Times New Roman"/>
                <w:sz w:val="24"/>
                <w:szCs w:val="24"/>
              </w:rPr>
            </w:pPr>
            <w:r w:rsidRPr="00217405">
              <w:rPr>
                <w:rFonts w:ascii="Times New Roman" w:hAnsi="Times New Roman" w:cs="Times New Roman"/>
                <w:sz w:val="24"/>
                <w:szCs w:val="24"/>
              </w:rPr>
              <w:t>Правила доверительного управления паевым инвестиционным фондом. Типовые правила доверительного управления паевым инвестиционным фондом. Особые сведения, которые должны содержать правила доверительного управления биржевым, интервальным, закрытым паевым инвестиционным фондам. Срок действия договора доверительного управления паевым инвестиционным фондом.</w:t>
            </w:r>
          </w:p>
          <w:p w14:paraId="2DA454FD" w14:textId="77777777" w:rsidR="005C3B83" w:rsidRPr="00217405" w:rsidRDefault="005C3B83" w:rsidP="005C3B83">
            <w:pPr>
              <w:pStyle w:val="ConsPlusNormal"/>
              <w:numPr>
                <w:ilvl w:val="0"/>
                <w:numId w:val="5"/>
              </w:numPr>
              <w:jc w:val="both"/>
              <w:rPr>
                <w:rFonts w:ascii="Times New Roman" w:hAnsi="Times New Roman" w:cs="Times New Roman"/>
                <w:sz w:val="24"/>
                <w:szCs w:val="24"/>
              </w:rPr>
            </w:pPr>
            <w:r w:rsidRPr="00217405">
              <w:rPr>
                <w:rFonts w:ascii="Times New Roman" w:hAnsi="Times New Roman" w:cs="Times New Roman"/>
                <w:sz w:val="24"/>
                <w:szCs w:val="24"/>
              </w:rPr>
              <w:t xml:space="preserve">Паевые инвестиционные фонды, предназначенные для квалифицированных инвесторов. Правила доверительного управления паевым инвестиционным фондом, инвестиционные паи которого предназначены для квалифицированных инвесторов. Неполная оплата инвестиционных паев при их выдаче. Инвестиционный комитет. Право управляющей компании в </w:t>
            </w:r>
            <w:r w:rsidRPr="00217405">
              <w:rPr>
                <w:rFonts w:ascii="Times New Roman" w:hAnsi="Times New Roman" w:cs="Times New Roman"/>
                <w:sz w:val="24"/>
                <w:szCs w:val="24"/>
              </w:rPr>
              <w:lastRenderedPageBreak/>
              <w:t>отказе приема заявки на приобретение инвестиционных паев.</w:t>
            </w:r>
          </w:p>
          <w:p w14:paraId="145D37F1" w14:textId="77777777" w:rsidR="005C3B83" w:rsidRPr="00217405" w:rsidRDefault="005C3B83" w:rsidP="005C3B83">
            <w:pPr>
              <w:pStyle w:val="ConsPlusNormal"/>
              <w:numPr>
                <w:ilvl w:val="0"/>
                <w:numId w:val="5"/>
              </w:numPr>
              <w:jc w:val="both"/>
              <w:rPr>
                <w:rFonts w:ascii="Times New Roman" w:hAnsi="Times New Roman" w:cs="Times New Roman"/>
                <w:sz w:val="24"/>
                <w:szCs w:val="24"/>
              </w:rPr>
            </w:pPr>
            <w:r w:rsidRPr="00217405">
              <w:rPr>
                <w:rFonts w:ascii="Times New Roman" w:hAnsi="Times New Roman" w:cs="Times New Roman"/>
                <w:sz w:val="24"/>
                <w:szCs w:val="24"/>
              </w:rPr>
              <w:t>Имущество, которое может быть передано в состав паевого инвестиционного фонда, с учетом типа паевого инвестиционного фонда. Формирование паевого инвестиционного фонда. Порядок включения имущества в состав паевого инвестиционного фонда после завершения (окончания) его формирования. Обособление имущества, составляющего паевой инвестиционный фонд.</w:t>
            </w:r>
          </w:p>
          <w:p w14:paraId="5737DDB5" w14:textId="77777777" w:rsidR="005C3B83" w:rsidRPr="00217405" w:rsidRDefault="005C3B83" w:rsidP="005C3B83">
            <w:pPr>
              <w:pStyle w:val="ConsPlusNormal"/>
              <w:numPr>
                <w:ilvl w:val="0"/>
                <w:numId w:val="5"/>
              </w:numPr>
              <w:jc w:val="both"/>
              <w:rPr>
                <w:rFonts w:ascii="Times New Roman" w:hAnsi="Times New Roman" w:cs="Times New Roman"/>
                <w:sz w:val="24"/>
                <w:szCs w:val="24"/>
              </w:rPr>
            </w:pPr>
            <w:r w:rsidRPr="00217405">
              <w:rPr>
                <w:rFonts w:ascii="Times New Roman" w:hAnsi="Times New Roman" w:cs="Times New Roman"/>
                <w:sz w:val="24"/>
                <w:szCs w:val="24"/>
              </w:rPr>
              <w:t>Общее собрание владельцев инвестиционных паев закрытого паевого инвестиционного фонда</w:t>
            </w:r>
          </w:p>
          <w:p w14:paraId="15415BB2" w14:textId="77777777" w:rsidR="005C3B83" w:rsidRPr="00217405" w:rsidRDefault="005C3B83" w:rsidP="005C3B83">
            <w:pPr>
              <w:pStyle w:val="ConsPlusNormal"/>
              <w:numPr>
                <w:ilvl w:val="0"/>
                <w:numId w:val="5"/>
              </w:numPr>
              <w:jc w:val="both"/>
              <w:rPr>
                <w:rFonts w:ascii="Times New Roman" w:hAnsi="Times New Roman" w:cs="Times New Roman"/>
                <w:sz w:val="24"/>
                <w:szCs w:val="24"/>
              </w:rPr>
            </w:pPr>
            <w:r w:rsidRPr="00217405">
              <w:rPr>
                <w:rFonts w:ascii="Times New Roman" w:hAnsi="Times New Roman" w:cs="Times New Roman"/>
                <w:sz w:val="24"/>
                <w:szCs w:val="24"/>
              </w:rPr>
              <w:t>Прекращение паевого инвестиционного фонда. Основания прекращения паевого инвестиционного фонда. Порядок прекращения паевого инвестиционного фонда. Распределение имущества, составляющего паевой инвестиционный фонд, при прекращении паевого инвестиционного фонда. Выдел имущества, составляющего биржевой паевой инвестиционный фонд, в связи с погашением инвестиционных паев этого фонда. Отчет о прекращении паевого инвестиционного фонда.</w:t>
            </w:r>
          </w:p>
          <w:p w14:paraId="07678792" w14:textId="77777777" w:rsidR="005C3B83" w:rsidRPr="00217405" w:rsidRDefault="005C3B83" w:rsidP="005C3B83">
            <w:pPr>
              <w:pStyle w:val="a4"/>
              <w:numPr>
                <w:ilvl w:val="1"/>
                <w:numId w:val="1"/>
              </w:numPr>
              <w:spacing w:after="0" w:line="240" w:lineRule="auto"/>
              <w:ind w:hanging="534"/>
              <w:jc w:val="both"/>
              <w:rPr>
                <w:rFonts w:ascii="Times New Roman" w:hAnsi="Times New Roman"/>
                <w:sz w:val="24"/>
                <w:szCs w:val="24"/>
              </w:rPr>
            </w:pPr>
            <w:r w:rsidRPr="00217405">
              <w:rPr>
                <w:rFonts w:ascii="Times New Roman" w:hAnsi="Times New Roman"/>
                <w:sz w:val="24"/>
                <w:szCs w:val="24"/>
              </w:rPr>
              <w:t>Инвестиционный пай. Выдача, обмен, погашение инвестиционных паев. Стоимость инвестиционного пая.</w:t>
            </w:r>
          </w:p>
          <w:p w14:paraId="29C89F97" w14:textId="77777777" w:rsidR="005C3B83" w:rsidRPr="00217405" w:rsidRDefault="005C3B83" w:rsidP="005C3B83">
            <w:pPr>
              <w:pStyle w:val="ConsPlusNormal"/>
              <w:numPr>
                <w:ilvl w:val="0"/>
                <w:numId w:val="6"/>
              </w:numPr>
              <w:jc w:val="both"/>
              <w:rPr>
                <w:rFonts w:ascii="Times New Roman" w:hAnsi="Times New Roman" w:cs="Times New Roman"/>
                <w:sz w:val="24"/>
                <w:szCs w:val="24"/>
              </w:rPr>
            </w:pPr>
            <w:r w:rsidRPr="00217405">
              <w:rPr>
                <w:rFonts w:ascii="Times New Roman" w:hAnsi="Times New Roman" w:cs="Times New Roman"/>
                <w:sz w:val="24"/>
                <w:szCs w:val="24"/>
              </w:rPr>
              <w:t>Инвестиционный пай. Права владельцев инвестиционных паев. Особые права владельцев инвестиционных паев различных типов паевых инвестиционных фондов: открытых, биржевых, интервальных и закрытых. Дробные части инвестиционных паев. Учет прав на инвестиционные паи.</w:t>
            </w:r>
          </w:p>
          <w:p w14:paraId="109F3C80" w14:textId="77777777" w:rsidR="005C3B83" w:rsidRPr="00217405" w:rsidRDefault="005C3B83" w:rsidP="005C3B83">
            <w:pPr>
              <w:pStyle w:val="ConsPlusNormal"/>
              <w:numPr>
                <w:ilvl w:val="0"/>
                <w:numId w:val="6"/>
              </w:numPr>
              <w:jc w:val="both"/>
              <w:rPr>
                <w:rFonts w:ascii="Times New Roman" w:hAnsi="Times New Roman" w:cs="Times New Roman"/>
                <w:sz w:val="24"/>
                <w:szCs w:val="24"/>
              </w:rPr>
            </w:pPr>
            <w:r w:rsidRPr="00217405">
              <w:rPr>
                <w:rFonts w:ascii="Times New Roman" w:hAnsi="Times New Roman" w:cs="Times New Roman"/>
                <w:sz w:val="24"/>
                <w:szCs w:val="24"/>
              </w:rPr>
              <w:t>Инвестиционные паи закрытого и интервального паевых инвестиционных фондов, предназначенных для квалифицированных инвесторов.</w:t>
            </w:r>
          </w:p>
          <w:p w14:paraId="47E0A968" w14:textId="77777777" w:rsidR="005C3B83" w:rsidRPr="00217405" w:rsidRDefault="005C3B83" w:rsidP="005C3B83">
            <w:pPr>
              <w:pStyle w:val="ConsPlusNormal"/>
              <w:numPr>
                <w:ilvl w:val="0"/>
                <w:numId w:val="6"/>
              </w:numPr>
              <w:jc w:val="both"/>
              <w:rPr>
                <w:rFonts w:ascii="Times New Roman" w:hAnsi="Times New Roman" w:cs="Times New Roman"/>
                <w:sz w:val="24"/>
                <w:szCs w:val="24"/>
              </w:rPr>
            </w:pPr>
            <w:r w:rsidRPr="00217405">
              <w:rPr>
                <w:rFonts w:ascii="Times New Roman" w:hAnsi="Times New Roman" w:cs="Times New Roman"/>
                <w:sz w:val="24"/>
                <w:szCs w:val="24"/>
              </w:rPr>
              <w:t>Выдача инвестиционных паев. Заявки на приобретение инвестиционных паев и сроки их приема. Основания для отказа в приеме заявок на приобретение инвестиционных паев. Сроки выдачи инвестиционных паев. Выдача дополнительных инвестиционных паев закрытого паевого инвестиционного фонда.</w:t>
            </w:r>
          </w:p>
          <w:p w14:paraId="10CFC962" w14:textId="77777777" w:rsidR="005C3B83" w:rsidRPr="00217405" w:rsidRDefault="005C3B83" w:rsidP="005C3B83">
            <w:pPr>
              <w:pStyle w:val="ConsPlusNormal"/>
              <w:numPr>
                <w:ilvl w:val="0"/>
                <w:numId w:val="6"/>
              </w:numPr>
              <w:jc w:val="both"/>
              <w:rPr>
                <w:rFonts w:ascii="Times New Roman" w:hAnsi="Times New Roman" w:cs="Times New Roman"/>
                <w:sz w:val="24"/>
                <w:szCs w:val="24"/>
              </w:rPr>
            </w:pPr>
            <w:r w:rsidRPr="00217405">
              <w:rPr>
                <w:rFonts w:ascii="Times New Roman" w:hAnsi="Times New Roman" w:cs="Times New Roman"/>
                <w:sz w:val="24"/>
                <w:szCs w:val="24"/>
              </w:rPr>
              <w:t>Обмен инвестиционных паев открытых, интервальных паевых инвестиционных фондов. Условия, ограничения и порядок обмена инвестиционных паев. Заявки на обмен инвестиционных паев. Основания для отказа в приеме заявок на обмен инвестиционных паев. Основания и порядок обмена инвестиционных паев по решению управляющей компании.</w:t>
            </w:r>
          </w:p>
          <w:p w14:paraId="0E6D7CD6" w14:textId="77777777" w:rsidR="005C3B83" w:rsidRPr="00217405" w:rsidRDefault="005C3B83" w:rsidP="005C3B83">
            <w:pPr>
              <w:pStyle w:val="ConsPlusNormal"/>
              <w:numPr>
                <w:ilvl w:val="0"/>
                <w:numId w:val="6"/>
              </w:numPr>
              <w:jc w:val="both"/>
              <w:rPr>
                <w:rFonts w:ascii="Times New Roman" w:hAnsi="Times New Roman" w:cs="Times New Roman"/>
                <w:sz w:val="24"/>
                <w:szCs w:val="24"/>
              </w:rPr>
            </w:pPr>
            <w:r w:rsidRPr="00217405">
              <w:rPr>
                <w:rFonts w:ascii="Times New Roman" w:hAnsi="Times New Roman" w:cs="Times New Roman"/>
                <w:sz w:val="24"/>
                <w:szCs w:val="24"/>
              </w:rPr>
              <w:t>Погашение инвестиционных паев. Заявки на погашение инвестиционных паев. Основания для отказа в приеме заявок на погашение инвестиционных паев. Выплата денежной компенсации в связи с погашением инвестиционных паев.</w:t>
            </w:r>
          </w:p>
          <w:p w14:paraId="195AD51E" w14:textId="77777777" w:rsidR="005C3B83" w:rsidRPr="00217405" w:rsidRDefault="005C3B83" w:rsidP="005C3B83">
            <w:pPr>
              <w:pStyle w:val="ConsPlusNormal"/>
              <w:numPr>
                <w:ilvl w:val="0"/>
                <w:numId w:val="6"/>
              </w:numPr>
              <w:jc w:val="both"/>
              <w:rPr>
                <w:rFonts w:ascii="Times New Roman" w:hAnsi="Times New Roman" w:cs="Times New Roman"/>
                <w:sz w:val="24"/>
                <w:szCs w:val="24"/>
              </w:rPr>
            </w:pPr>
            <w:r w:rsidRPr="00217405">
              <w:rPr>
                <w:rFonts w:ascii="Times New Roman" w:hAnsi="Times New Roman" w:cs="Times New Roman"/>
                <w:sz w:val="24"/>
                <w:szCs w:val="24"/>
              </w:rPr>
              <w:t>Расчетная стоимость инвестиционного пая. Надбавки к расчетной стоимости инвестиционных паев при их выдаче и скидки с расчетной стоимости инвестиционных паев при их погашении.</w:t>
            </w:r>
          </w:p>
          <w:p w14:paraId="4CAE9C4A" w14:textId="77777777" w:rsidR="005C3B83" w:rsidRPr="00217405" w:rsidRDefault="005C3B83" w:rsidP="005C3B83">
            <w:pPr>
              <w:pStyle w:val="ConsPlusNormal"/>
              <w:numPr>
                <w:ilvl w:val="0"/>
                <w:numId w:val="6"/>
              </w:numPr>
              <w:jc w:val="both"/>
              <w:rPr>
                <w:rFonts w:ascii="Times New Roman" w:hAnsi="Times New Roman" w:cs="Times New Roman"/>
                <w:sz w:val="24"/>
                <w:szCs w:val="24"/>
              </w:rPr>
            </w:pPr>
            <w:r w:rsidRPr="00217405">
              <w:rPr>
                <w:rFonts w:ascii="Times New Roman" w:hAnsi="Times New Roman" w:cs="Times New Roman"/>
                <w:sz w:val="24"/>
                <w:szCs w:val="24"/>
              </w:rPr>
              <w:t>Приостановление выдачи, погашения, обмена инвестиционных паев. Агенты по выдаче, погашению и обмену инвестиционных паев.</w:t>
            </w:r>
          </w:p>
          <w:p w14:paraId="61AEAC28" w14:textId="77777777" w:rsidR="005C3B83" w:rsidRPr="00217405" w:rsidRDefault="005C3B83" w:rsidP="005C3B83">
            <w:pPr>
              <w:pStyle w:val="ConsPlusNormal"/>
              <w:numPr>
                <w:ilvl w:val="0"/>
                <w:numId w:val="6"/>
              </w:numPr>
              <w:jc w:val="both"/>
              <w:rPr>
                <w:rFonts w:ascii="Times New Roman" w:hAnsi="Times New Roman" w:cs="Times New Roman"/>
                <w:sz w:val="24"/>
                <w:szCs w:val="24"/>
              </w:rPr>
            </w:pPr>
            <w:r w:rsidRPr="00217405">
              <w:rPr>
                <w:rFonts w:ascii="Times New Roman" w:hAnsi="Times New Roman" w:cs="Times New Roman"/>
                <w:sz w:val="24"/>
                <w:szCs w:val="24"/>
              </w:rPr>
              <w:t>Допуск инвестиционных паев биржевого паевого инвестиционного фонда к организованным торгам.</w:t>
            </w:r>
          </w:p>
          <w:p w14:paraId="050F5C3E" w14:textId="77777777" w:rsidR="005C3B83" w:rsidRPr="00217405" w:rsidRDefault="005C3B83" w:rsidP="005C3B83">
            <w:pPr>
              <w:pStyle w:val="a4"/>
              <w:numPr>
                <w:ilvl w:val="1"/>
                <w:numId w:val="1"/>
              </w:numPr>
              <w:spacing w:after="0" w:line="240" w:lineRule="auto"/>
              <w:ind w:hanging="534"/>
              <w:jc w:val="both"/>
              <w:outlineLvl w:val="2"/>
              <w:rPr>
                <w:rFonts w:ascii="Times New Roman" w:hAnsi="Times New Roman"/>
                <w:sz w:val="24"/>
                <w:szCs w:val="24"/>
              </w:rPr>
            </w:pPr>
            <w:r w:rsidRPr="00217405">
              <w:rPr>
                <w:rFonts w:ascii="Times New Roman" w:hAnsi="Times New Roman"/>
                <w:sz w:val="24"/>
                <w:szCs w:val="24"/>
              </w:rPr>
              <w:t>Управляющая компания, осуществление доверительного управления паевым инвестиционным фондом.</w:t>
            </w:r>
          </w:p>
          <w:p w14:paraId="3952649B" w14:textId="77777777" w:rsidR="005C3B83" w:rsidRPr="00217405" w:rsidRDefault="005C3B83" w:rsidP="005C3B83">
            <w:pPr>
              <w:pStyle w:val="ConsPlusNormal"/>
              <w:numPr>
                <w:ilvl w:val="0"/>
                <w:numId w:val="7"/>
              </w:numPr>
              <w:jc w:val="both"/>
              <w:rPr>
                <w:rFonts w:ascii="Times New Roman" w:hAnsi="Times New Roman" w:cs="Times New Roman"/>
                <w:sz w:val="24"/>
                <w:szCs w:val="24"/>
              </w:rPr>
            </w:pPr>
            <w:r w:rsidRPr="00217405">
              <w:rPr>
                <w:rFonts w:ascii="Times New Roman" w:hAnsi="Times New Roman" w:cs="Times New Roman"/>
                <w:sz w:val="24"/>
                <w:szCs w:val="24"/>
              </w:rPr>
              <w:t xml:space="preserve">Контроль за распоряжением имуществом, составляющим паевой инвестиционный фонд. Взаимодействие управляющей компании со специализированным депозитарием. Передача имущества, составляющего паевой инвестиционный фонд, для учета и (или) хранения, предоставление </w:t>
            </w:r>
            <w:r w:rsidRPr="00217405">
              <w:rPr>
                <w:rFonts w:ascii="Times New Roman" w:hAnsi="Times New Roman" w:cs="Times New Roman"/>
                <w:sz w:val="24"/>
                <w:szCs w:val="24"/>
              </w:rPr>
              <w:lastRenderedPageBreak/>
              <w:t>документов в отношении такого имущества специализированному депозитарию.</w:t>
            </w:r>
          </w:p>
          <w:p w14:paraId="28EA5CFC" w14:textId="77777777" w:rsidR="005C3B83" w:rsidRPr="00217405" w:rsidRDefault="005C3B83" w:rsidP="005C3B83">
            <w:pPr>
              <w:pStyle w:val="ConsPlusNormal"/>
              <w:numPr>
                <w:ilvl w:val="0"/>
                <w:numId w:val="7"/>
              </w:numPr>
              <w:jc w:val="both"/>
              <w:rPr>
                <w:rFonts w:ascii="Times New Roman" w:hAnsi="Times New Roman" w:cs="Times New Roman"/>
                <w:sz w:val="24"/>
                <w:szCs w:val="24"/>
              </w:rPr>
            </w:pPr>
            <w:r w:rsidRPr="00217405">
              <w:rPr>
                <w:rFonts w:ascii="Times New Roman" w:hAnsi="Times New Roman" w:cs="Times New Roman"/>
                <w:sz w:val="24"/>
                <w:szCs w:val="24"/>
              </w:rPr>
              <w:t>Взаимодействие управляющей компании с лицом, осуществляющим ведение реестра владельцев инвестиционных паев.</w:t>
            </w:r>
          </w:p>
          <w:p w14:paraId="41FDFEBF" w14:textId="77777777" w:rsidR="005C3B83" w:rsidRPr="00217405" w:rsidRDefault="005C3B83" w:rsidP="005C3B83">
            <w:pPr>
              <w:pStyle w:val="ConsPlusNormal"/>
              <w:numPr>
                <w:ilvl w:val="0"/>
                <w:numId w:val="7"/>
              </w:numPr>
              <w:jc w:val="both"/>
              <w:rPr>
                <w:rFonts w:ascii="Times New Roman" w:hAnsi="Times New Roman" w:cs="Times New Roman"/>
                <w:sz w:val="24"/>
                <w:szCs w:val="24"/>
              </w:rPr>
            </w:pPr>
            <w:r w:rsidRPr="00217405">
              <w:rPr>
                <w:rFonts w:ascii="Times New Roman" w:hAnsi="Times New Roman" w:cs="Times New Roman"/>
                <w:sz w:val="24"/>
                <w:szCs w:val="24"/>
              </w:rPr>
              <w:t>Ведения учета в отношении имущества, составляющего паевой инвестиционный фонд, и операций с этим имуществом, а также некоторых других документов (расчетов, сделок, соблюдения требований), связанных с паевым инвестиционным фондом.</w:t>
            </w:r>
          </w:p>
          <w:p w14:paraId="4822BF00" w14:textId="77777777" w:rsidR="005C3B83" w:rsidRPr="00217405" w:rsidRDefault="005C3B83" w:rsidP="005C3B83">
            <w:pPr>
              <w:pStyle w:val="ConsPlusNormal"/>
              <w:numPr>
                <w:ilvl w:val="0"/>
                <w:numId w:val="7"/>
              </w:numPr>
              <w:jc w:val="both"/>
              <w:rPr>
                <w:rFonts w:ascii="Times New Roman" w:hAnsi="Times New Roman" w:cs="Times New Roman"/>
                <w:sz w:val="24"/>
                <w:szCs w:val="24"/>
              </w:rPr>
            </w:pPr>
            <w:r w:rsidRPr="00217405">
              <w:rPr>
                <w:rFonts w:ascii="Times New Roman" w:hAnsi="Times New Roman" w:cs="Times New Roman"/>
                <w:sz w:val="24"/>
                <w:szCs w:val="24"/>
              </w:rPr>
              <w:t>Оценка недвижимого имущества, прав на недвижимое имущество, иного имущества, предусмотренного нормативными актами Банка России, составляющего паевой инвестиционный фонд.</w:t>
            </w:r>
          </w:p>
          <w:p w14:paraId="78064621" w14:textId="77777777" w:rsidR="005C3B83" w:rsidRPr="00217405" w:rsidRDefault="005C3B83" w:rsidP="005C3B83">
            <w:pPr>
              <w:pStyle w:val="ConsPlusNormal"/>
              <w:numPr>
                <w:ilvl w:val="0"/>
                <w:numId w:val="7"/>
              </w:numPr>
              <w:jc w:val="both"/>
              <w:rPr>
                <w:rFonts w:ascii="Times New Roman" w:hAnsi="Times New Roman" w:cs="Times New Roman"/>
                <w:sz w:val="24"/>
                <w:szCs w:val="24"/>
              </w:rPr>
            </w:pPr>
            <w:r w:rsidRPr="00217405">
              <w:rPr>
                <w:rFonts w:ascii="Times New Roman" w:hAnsi="Times New Roman" w:cs="Times New Roman"/>
                <w:sz w:val="24"/>
                <w:szCs w:val="24"/>
              </w:rPr>
              <w:t>Процедура добровольного прекращения управляющей компанией исполнения своих обязанностей по управлению паевым инвестиционным фондом.</w:t>
            </w:r>
          </w:p>
          <w:p w14:paraId="23BD45BE" w14:textId="77777777" w:rsidR="005C3B83" w:rsidRPr="00217405" w:rsidRDefault="005C3B83" w:rsidP="005C3B83">
            <w:pPr>
              <w:pStyle w:val="ConsPlusNormal"/>
              <w:numPr>
                <w:ilvl w:val="0"/>
                <w:numId w:val="7"/>
              </w:numPr>
              <w:jc w:val="both"/>
              <w:rPr>
                <w:rFonts w:ascii="Times New Roman" w:hAnsi="Times New Roman" w:cs="Times New Roman"/>
                <w:sz w:val="24"/>
                <w:szCs w:val="24"/>
              </w:rPr>
            </w:pPr>
            <w:r w:rsidRPr="00217405">
              <w:rPr>
                <w:rFonts w:ascii="Times New Roman" w:hAnsi="Times New Roman" w:cs="Times New Roman"/>
                <w:sz w:val="24"/>
                <w:szCs w:val="24"/>
              </w:rPr>
              <w:t>Ограничения деятельности управляющей компании по совершению сделок или выдаче поручений на совершение сделок, распоряжению имуществом при доверительном управлении активами паевого инвестиционного фонда.</w:t>
            </w:r>
          </w:p>
          <w:p w14:paraId="2F295747" w14:textId="77777777" w:rsidR="005C3B83" w:rsidRPr="00217405" w:rsidRDefault="005C3B83" w:rsidP="005C3B83">
            <w:pPr>
              <w:pStyle w:val="ConsPlusNormal"/>
              <w:numPr>
                <w:ilvl w:val="0"/>
                <w:numId w:val="7"/>
              </w:numPr>
              <w:jc w:val="both"/>
              <w:rPr>
                <w:rFonts w:ascii="Times New Roman" w:hAnsi="Times New Roman" w:cs="Times New Roman"/>
                <w:sz w:val="24"/>
                <w:szCs w:val="24"/>
              </w:rPr>
            </w:pPr>
            <w:r w:rsidRPr="00217405">
              <w:rPr>
                <w:rFonts w:ascii="Times New Roman" w:hAnsi="Times New Roman" w:cs="Times New Roman"/>
                <w:sz w:val="24"/>
                <w:szCs w:val="24"/>
              </w:rPr>
              <w:t>Вознаграждение и расходы, связанные с доверительным управлением паевым инвестиционным фондом. Предел суммарного вознаграждения управляющей компании, специализированного депозитария, лица, осуществляющего ведение реестра владельцев инвестиционных паев, оценщика, аудиторской организации, биржи, имущества, составляющего паевой инвестиционный фонд. Вознаграждение управляющей компании в виде фиксированной суммы или доли среднегодовой стоимости чистых активов и (или) доли дохода от управления. Перечень и порядок определения совокупного предельного размера расходов, связанных с доверительным управлением имуществом, составляющим паевой инвестиционный фонд.</w:t>
            </w:r>
          </w:p>
          <w:p w14:paraId="6005FCAF" w14:textId="77777777" w:rsidR="005C3B83" w:rsidRPr="00217405" w:rsidRDefault="005C3B83" w:rsidP="005C3B83">
            <w:pPr>
              <w:pStyle w:val="a4"/>
              <w:numPr>
                <w:ilvl w:val="1"/>
                <w:numId w:val="1"/>
              </w:numPr>
              <w:spacing w:after="0" w:line="240" w:lineRule="auto"/>
              <w:ind w:hanging="534"/>
              <w:jc w:val="both"/>
              <w:outlineLvl w:val="2"/>
              <w:rPr>
                <w:rFonts w:ascii="Times New Roman" w:hAnsi="Times New Roman"/>
                <w:sz w:val="24"/>
                <w:szCs w:val="24"/>
              </w:rPr>
            </w:pPr>
            <w:r w:rsidRPr="00217405">
              <w:rPr>
                <w:rFonts w:ascii="Times New Roman" w:hAnsi="Times New Roman"/>
                <w:sz w:val="24"/>
                <w:szCs w:val="24"/>
              </w:rPr>
              <w:t>Регистрация правил доверительного управления паевым инвестиционным фондом, изменений и дополнений в них. Раскрытие информации и вступление в силу изменений и дополнений, вносимых в правила доверительного управления.</w:t>
            </w:r>
          </w:p>
          <w:p w14:paraId="60BBA0C3" w14:textId="77777777" w:rsidR="005C3B83" w:rsidRPr="00217405" w:rsidRDefault="005C3B83" w:rsidP="005C3B83">
            <w:pPr>
              <w:pStyle w:val="ConsPlusNormal"/>
              <w:numPr>
                <w:ilvl w:val="0"/>
                <w:numId w:val="8"/>
              </w:numPr>
              <w:jc w:val="both"/>
              <w:rPr>
                <w:rFonts w:ascii="Times New Roman" w:hAnsi="Times New Roman" w:cs="Times New Roman"/>
                <w:sz w:val="24"/>
                <w:szCs w:val="24"/>
              </w:rPr>
            </w:pPr>
            <w:r w:rsidRPr="00217405">
              <w:rPr>
                <w:rFonts w:ascii="Times New Roman" w:hAnsi="Times New Roman" w:cs="Times New Roman"/>
                <w:sz w:val="24"/>
                <w:szCs w:val="24"/>
              </w:rPr>
              <w:t>Порядок регистрации правил доверительного управления паевым инвестиционным фондом и регистрации изменений и дополнений в них. Основания для регистрации изменений и дополнений в правила доверительного управления и соответствующие сроки для принятия решения Банком России. Основания для отказа в регистрации правил доверительного управления или изменений и дополнений в них. Случаи, в которых регистрация изменений и дополнений осуществляется по заявлению специализированного депозитария, временной администрации организации, осуществлявшей деятельность управляющей компании. Порядок ведения реестра паевых инвестиционных фондов и предоставления выписок из него Банком России.</w:t>
            </w:r>
          </w:p>
          <w:p w14:paraId="191334DB" w14:textId="77777777" w:rsidR="005C3B83" w:rsidRPr="00217405" w:rsidRDefault="005C3B83" w:rsidP="005C3B83">
            <w:pPr>
              <w:pStyle w:val="ConsPlusNormal"/>
              <w:numPr>
                <w:ilvl w:val="0"/>
                <w:numId w:val="8"/>
              </w:numPr>
              <w:jc w:val="both"/>
              <w:rPr>
                <w:rFonts w:ascii="Times New Roman" w:hAnsi="Times New Roman" w:cs="Times New Roman"/>
                <w:sz w:val="24"/>
                <w:szCs w:val="24"/>
              </w:rPr>
            </w:pPr>
            <w:r w:rsidRPr="00217405">
              <w:rPr>
                <w:rFonts w:ascii="Times New Roman" w:hAnsi="Times New Roman" w:cs="Times New Roman"/>
                <w:sz w:val="24"/>
                <w:szCs w:val="24"/>
              </w:rPr>
              <w:t>Раскрытие сообщения о регистрации изменений и дополнений в правила доверительного управления, предоставление указанного сообщения всем владельцам инвестиционных паев, предназначенных для квалифицированных инвесторов. Особенности вступления в силу изменений и дополнений, вносимых в правила доверительного управления по разным основаниям, с учетом типа паевого инвестиционного фонда.</w:t>
            </w:r>
          </w:p>
          <w:p w14:paraId="10DF6B23" w14:textId="77777777" w:rsidR="005C3B83" w:rsidRPr="00217405" w:rsidRDefault="005C3B83" w:rsidP="005C3B83">
            <w:pPr>
              <w:pStyle w:val="a4"/>
              <w:numPr>
                <w:ilvl w:val="1"/>
                <w:numId w:val="1"/>
              </w:numPr>
              <w:spacing w:after="0" w:line="240" w:lineRule="auto"/>
              <w:ind w:hanging="534"/>
              <w:jc w:val="both"/>
              <w:rPr>
                <w:rFonts w:ascii="Times New Roman" w:hAnsi="Times New Roman"/>
                <w:sz w:val="24"/>
                <w:szCs w:val="24"/>
              </w:rPr>
            </w:pPr>
            <w:r w:rsidRPr="00217405">
              <w:rPr>
                <w:rFonts w:ascii="Times New Roman" w:hAnsi="Times New Roman"/>
                <w:sz w:val="24"/>
                <w:szCs w:val="24"/>
              </w:rPr>
              <w:t>Состав и структура активов паевых инвестиционных фондов.</w:t>
            </w:r>
          </w:p>
          <w:p w14:paraId="661DCC51" w14:textId="77777777" w:rsidR="005C3B83" w:rsidRPr="00217405" w:rsidRDefault="005C3B83" w:rsidP="005C3B83">
            <w:pPr>
              <w:pStyle w:val="ConsPlusNormal"/>
              <w:numPr>
                <w:ilvl w:val="0"/>
                <w:numId w:val="9"/>
              </w:numPr>
              <w:jc w:val="both"/>
              <w:rPr>
                <w:rFonts w:ascii="Times New Roman" w:hAnsi="Times New Roman" w:cs="Times New Roman"/>
                <w:sz w:val="24"/>
                <w:szCs w:val="24"/>
              </w:rPr>
            </w:pPr>
            <w:r w:rsidRPr="00217405">
              <w:rPr>
                <w:rFonts w:ascii="Times New Roman" w:hAnsi="Times New Roman" w:cs="Times New Roman"/>
                <w:sz w:val="24"/>
                <w:szCs w:val="24"/>
              </w:rPr>
              <w:t xml:space="preserve">Категории инвестиционных фондов: фонды рыночных финансовых инструментов, фонды финансовых инструментов, фонды недвижимости, </w:t>
            </w:r>
            <w:r w:rsidRPr="00217405">
              <w:rPr>
                <w:rFonts w:ascii="Times New Roman" w:hAnsi="Times New Roman" w:cs="Times New Roman"/>
                <w:sz w:val="24"/>
                <w:szCs w:val="24"/>
              </w:rPr>
              <w:lastRenderedPageBreak/>
              <w:t>комбинированные фонды. Категории инвестиционных фондов, паи которых предназначены только для квалифицированных инвесторов или только для неквалифицированных инвесторов.</w:t>
            </w:r>
          </w:p>
          <w:p w14:paraId="20343EE2" w14:textId="77777777" w:rsidR="005C3B83" w:rsidRPr="00217405" w:rsidRDefault="005C3B83" w:rsidP="005C3B83">
            <w:pPr>
              <w:pStyle w:val="ConsPlusNormal"/>
              <w:numPr>
                <w:ilvl w:val="0"/>
                <w:numId w:val="9"/>
              </w:numPr>
              <w:jc w:val="both"/>
              <w:rPr>
                <w:rFonts w:ascii="Times New Roman" w:hAnsi="Times New Roman" w:cs="Times New Roman"/>
                <w:sz w:val="24"/>
                <w:szCs w:val="24"/>
              </w:rPr>
            </w:pPr>
            <w:r w:rsidRPr="00217405">
              <w:rPr>
                <w:rFonts w:ascii="Times New Roman" w:hAnsi="Times New Roman" w:cs="Times New Roman"/>
                <w:sz w:val="24"/>
                <w:szCs w:val="24"/>
              </w:rPr>
              <w:t>Требования к составу активов фондов, относящихся к категории фондов рыночных финансовых инструментов.</w:t>
            </w:r>
          </w:p>
          <w:p w14:paraId="0F5D1675" w14:textId="77777777" w:rsidR="005C3B83" w:rsidRPr="00217405" w:rsidRDefault="005C3B83" w:rsidP="005C3B83">
            <w:pPr>
              <w:pStyle w:val="ConsPlusNormal"/>
              <w:numPr>
                <w:ilvl w:val="0"/>
                <w:numId w:val="9"/>
              </w:numPr>
              <w:jc w:val="both"/>
              <w:rPr>
                <w:rFonts w:ascii="Times New Roman" w:hAnsi="Times New Roman" w:cs="Times New Roman"/>
                <w:sz w:val="24"/>
                <w:szCs w:val="24"/>
              </w:rPr>
            </w:pPr>
            <w:r w:rsidRPr="00217405">
              <w:rPr>
                <w:rFonts w:ascii="Times New Roman" w:hAnsi="Times New Roman" w:cs="Times New Roman"/>
                <w:sz w:val="24"/>
                <w:szCs w:val="24"/>
              </w:rPr>
              <w:t>Требования к составу активов фондов, относящихся к категории фондов финансовых инструментов.</w:t>
            </w:r>
          </w:p>
          <w:p w14:paraId="01333C62" w14:textId="77777777" w:rsidR="005C3B83" w:rsidRPr="00217405" w:rsidRDefault="005C3B83" w:rsidP="005C3B83">
            <w:pPr>
              <w:pStyle w:val="ConsPlusNormal"/>
              <w:numPr>
                <w:ilvl w:val="0"/>
                <w:numId w:val="9"/>
              </w:numPr>
              <w:jc w:val="both"/>
              <w:rPr>
                <w:rFonts w:ascii="Times New Roman" w:hAnsi="Times New Roman" w:cs="Times New Roman"/>
                <w:sz w:val="24"/>
                <w:szCs w:val="24"/>
              </w:rPr>
            </w:pPr>
            <w:r w:rsidRPr="00217405">
              <w:rPr>
                <w:rFonts w:ascii="Times New Roman" w:hAnsi="Times New Roman" w:cs="Times New Roman"/>
                <w:sz w:val="24"/>
                <w:szCs w:val="24"/>
              </w:rPr>
              <w:t>Требования к составу активов фондов для неквалифицированных инвесторов, относящихся к категории фондов недвижимости.</w:t>
            </w:r>
          </w:p>
          <w:p w14:paraId="25A01FB8" w14:textId="77777777" w:rsidR="005C3B83" w:rsidRPr="00217405" w:rsidRDefault="005C3B83" w:rsidP="005C3B83">
            <w:pPr>
              <w:pStyle w:val="ConsPlusNormal"/>
              <w:numPr>
                <w:ilvl w:val="0"/>
                <w:numId w:val="9"/>
              </w:numPr>
              <w:jc w:val="both"/>
              <w:rPr>
                <w:rFonts w:ascii="Times New Roman" w:hAnsi="Times New Roman" w:cs="Times New Roman"/>
                <w:sz w:val="24"/>
                <w:szCs w:val="24"/>
              </w:rPr>
            </w:pPr>
            <w:r w:rsidRPr="00217405">
              <w:rPr>
                <w:rFonts w:ascii="Times New Roman" w:hAnsi="Times New Roman" w:cs="Times New Roman"/>
                <w:sz w:val="24"/>
                <w:szCs w:val="24"/>
              </w:rPr>
              <w:t>Требования к составу активов фондов для квалифицированных инвесторов, относящихся к категории фондов недвижимости.</w:t>
            </w:r>
          </w:p>
          <w:p w14:paraId="0AED9E74" w14:textId="77777777" w:rsidR="005C3B83" w:rsidRPr="00217405" w:rsidRDefault="005C3B83" w:rsidP="005C3B83">
            <w:pPr>
              <w:pStyle w:val="ConsPlusNormal"/>
              <w:numPr>
                <w:ilvl w:val="0"/>
                <w:numId w:val="9"/>
              </w:numPr>
              <w:jc w:val="both"/>
              <w:rPr>
                <w:rFonts w:ascii="Times New Roman" w:hAnsi="Times New Roman" w:cs="Times New Roman"/>
                <w:sz w:val="24"/>
                <w:szCs w:val="24"/>
              </w:rPr>
            </w:pPr>
            <w:r w:rsidRPr="00217405">
              <w:rPr>
                <w:rFonts w:ascii="Times New Roman" w:hAnsi="Times New Roman" w:cs="Times New Roman"/>
                <w:sz w:val="24"/>
                <w:szCs w:val="24"/>
              </w:rPr>
              <w:t>Требования к составу активов фондов, относящихся к категории комбинированных фондов.</w:t>
            </w:r>
          </w:p>
          <w:p w14:paraId="58E4877E" w14:textId="77777777" w:rsidR="005C3B83" w:rsidRPr="00217405" w:rsidRDefault="005C3B83" w:rsidP="005C3B83">
            <w:pPr>
              <w:pStyle w:val="ConsPlusNormal"/>
              <w:numPr>
                <w:ilvl w:val="0"/>
                <w:numId w:val="9"/>
              </w:numPr>
              <w:jc w:val="both"/>
              <w:rPr>
                <w:rFonts w:ascii="Times New Roman" w:hAnsi="Times New Roman" w:cs="Times New Roman"/>
                <w:sz w:val="24"/>
                <w:szCs w:val="24"/>
              </w:rPr>
            </w:pPr>
            <w:r w:rsidRPr="00217405">
              <w:rPr>
                <w:rFonts w:ascii="Times New Roman" w:hAnsi="Times New Roman" w:cs="Times New Roman"/>
                <w:sz w:val="24"/>
                <w:szCs w:val="24"/>
              </w:rPr>
              <w:t xml:space="preserve">Ограничения удельного веса (доли) отдельных активов от стоимости активов инвестиционного фонда. Особенности учета производных финансовых инструментов, договоров </w:t>
            </w:r>
            <w:proofErr w:type="spellStart"/>
            <w:r w:rsidRPr="00217405">
              <w:rPr>
                <w:rFonts w:ascii="Times New Roman" w:hAnsi="Times New Roman" w:cs="Times New Roman"/>
                <w:sz w:val="24"/>
                <w:szCs w:val="24"/>
              </w:rPr>
              <w:t>репо</w:t>
            </w:r>
            <w:proofErr w:type="spellEnd"/>
            <w:r w:rsidRPr="00217405">
              <w:rPr>
                <w:rFonts w:ascii="Times New Roman" w:hAnsi="Times New Roman" w:cs="Times New Roman"/>
                <w:sz w:val="24"/>
                <w:szCs w:val="24"/>
              </w:rPr>
              <w:t>, договоров займа, кредитных договоров в целях соответствия инвестиционного фонда требованиям по составу и структуре активов.</w:t>
            </w:r>
          </w:p>
          <w:p w14:paraId="522EC992" w14:textId="77777777" w:rsidR="005C3B83" w:rsidRPr="00217405" w:rsidRDefault="005C3B83" w:rsidP="005C3B83">
            <w:pPr>
              <w:pStyle w:val="ConsPlusNormal"/>
              <w:numPr>
                <w:ilvl w:val="0"/>
                <w:numId w:val="9"/>
              </w:numPr>
              <w:jc w:val="both"/>
              <w:rPr>
                <w:rFonts w:ascii="Times New Roman" w:hAnsi="Times New Roman" w:cs="Times New Roman"/>
                <w:sz w:val="24"/>
                <w:szCs w:val="24"/>
              </w:rPr>
            </w:pPr>
            <w:r w:rsidRPr="00217405">
              <w:rPr>
                <w:rFonts w:ascii="Times New Roman" w:hAnsi="Times New Roman" w:cs="Times New Roman"/>
                <w:sz w:val="24"/>
                <w:szCs w:val="24"/>
              </w:rPr>
              <w:t>Порядок устранения несоответствия состава и (или) структуры активов инвестиционного фонда, инвестиционной декларации инвестиционного фонда.</w:t>
            </w:r>
          </w:p>
          <w:p w14:paraId="67F7D1A2" w14:textId="77777777" w:rsidR="005C3B83" w:rsidRPr="00217405" w:rsidRDefault="005C3B83" w:rsidP="005C3B83">
            <w:pPr>
              <w:pStyle w:val="a4"/>
              <w:numPr>
                <w:ilvl w:val="1"/>
                <w:numId w:val="1"/>
              </w:numPr>
              <w:spacing w:after="0" w:line="240" w:lineRule="auto"/>
              <w:ind w:hanging="534"/>
              <w:jc w:val="both"/>
              <w:rPr>
                <w:rFonts w:ascii="Times New Roman" w:hAnsi="Times New Roman"/>
                <w:sz w:val="24"/>
                <w:szCs w:val="24"/>
              </w:rPr>
            </w:pPr>
            <w:r w:rsidRPr="00217405">
              <w:rPr>
                <w:rFonts w:ascii="Times New Roman" w:hAnsi="Times New Roman"/>
                <w:sz w:val="24"/>
                <w:szCs w:val="24"/>
              </w:rPr>
              <w:t>Порядок и сроки определения стоимости чистых активов инвестиционных фондов</w:t>
            </w:r>
          </w:p>
          <w:p w14:paraId="29322DC3" w14:textId="77777777" w:rsidR="005C3B83" w:rsidRPr="00217405" w:rsidRDefault="005C3B83" w:rsidP="005C3B83">
            <w:pPr>
              <w:pStyle w:val="ConsPlusNormal"/>
              <w:numPr>
                <w:ilvl w:val="0"/>
                <w:numId w:val="10"/>
              </w:numPr>
              <w:jc w:val="both"/>
              <w:rPr>
                <w:rFonts w:ascii="Times New Roman" w:hAnsi="Times New Roman" w:cs="Times New Roman"/>
                <w:sz w:val="24"/>
                <w:szCs w:val="24"/>
              </w:rPr>
            </w:pPr>
            <w:r w:rsidRPr="00217405">
              <w:rPr>
                <w:rFonts w:ascii="Times New Roman" w:hAnsi="Times New Roman" w:cs="Times New Roman"/>
                <w:sz w:val="24"/>
                <w:szCs w:val="24"/>
              </w:rPr>
              <w:t>Понятие стоимости чистых активов инвестиционных фондов. Определение стоимости активов и величины обязательств по справедливой стоимости в соответствии с Международным стандартом финансовой отчетности (IFRS) 13 «Оценка справедливой стоимости». Определения стоимости актива на основании отчета оценщика. Отдельные требования к составу обязательств при определении стоимости чистых активов.</w:t>
            </w:r>
          </w:p>
          <w:p w14:paraId="051259A0" w14:textId="77777777" w:rsidR="005C3B83" w:rsidRPr="00217405" w:rsidRDefault="005C3B83" w:rsidP="005C3B83">
            <w:pPr>
              <w:pStyle w:val="ConsPlusNormal"/>
              <w:numPr>
                <w:ilvl w:val="0"/>
                <w:numId w:val="10"/>
              </w:numPr>
              <w:jc w:val="both"/>
              <w:rPr>
                <w:rFonts w:ascii="Times New Roman" w:hAnsi="Times New Roman" w:cs="Times New Roman"/>
                <w:sz w:val="24"/>
                <w:szCs w:val="24"/>
              </w:rPr>
            </w:pPr>
            <w:r w:rsidRPr="00217405">
              <w:rPr>
                <w:rFonts w:ascii="Times New Roman" w:hAnsi="Times New Roman" w:cs="Times New Roman"/>
                <w:sz w:val="24"/>
                <w:szCs w:val="24"/>
              </w:rPr>
              <w:t>Даты определения стоимости чистых активов паевого инвестиционного фонда, помимо ежемесячного расчета на последний рабочий день календарного месяца, связанные с завершением (окончанием) формирования паевого инвестиционного фонда, прекращением паевого инвестиционного фонда и другими событиями.</w:t>
            </w:r>
          </w:p>
          <w:p w14:paraId="2C05030D" w14:textId="77777777" w:rsidR="005C3B83" w:rsidRPr="00217405" w:rsidRDefault="005C3B83" w:rsidP="005C3B83">
            <w:pPr>
              <w:pStyle w:val="ConsPlusNormal"/>
              <w:numPr>
                <w:ilvl w:val="0"/>
                <w:numId w:val="10"/>
              </w:numPr>
              <w:jc w:val="both"/>
              <w:rPr>
                <w:rFonts w:ascii="Times New Roman" w:hAnsi="Times New Roman" w:cs="Times New Roman"/>
                <w:sz w:val="24"/>
                <w:szCs w:val="24"/>
              </w:rPr>
            </w:pPr>
            <w:r w:rsidRPr="00217405">
              <w:rPr>
                <w:rFonts w:ascii="Times New Roman" w:hAnsi="Times New Roman" w:cs="Times New Roman"/>
                <w:sz w:val="24"/>
                <w:szCs w:val="24"/>
              </w:rPr>
              <w:t>Утверждение и согласование Правил определения стоимости чистых активов, предоставление их в Банк России. Требования к содержанию Правил определения стоимости чистых активов. Внесение изменений и дополнений в Правила определения стоимости чистых активов. Раскрытие Правил определения стоимости чистых активов инвестиционных фондов, паи (акции) которых не предназначены для квалифицированных инвесторов.</w:t>
            </w:r>
          </w:p>
          <w:p w14:paraId="5752DED7" w14:textId="77777777" w:rsidR="005C3B83" w:rsidRPr="00217405" w:rsidRDefault="005C3B83" w:rsidP="005C3B83">
            <w:pPr>
              <w:pStyle w:val="a4"/>
              <w:numPr>
                <w:ilvl w:val="1"/>
                <w:numId w:val="1"/>
              </w:numPr>
              <w:spacing w:after="0" w:line="240" w:lineRule="auto"/>
              <w:ind w:hanging="534"/>
              <w:jc w:val="both"/>
              <w:rPr>
                <w:rFonts w:ascii="Times New Roman" w:hAnsi="Times New Roman"/>
                <w:sz w:val="24"/>
                <w:szCs w:val="24"/>
              </w:rPr>
            </w:pPr>
            <w:r w:rsidRPr="00217405">
              <w:rPr>
                <w:rFonts w:ascii="Times New Roman" w:hAnsi="Times New Roman"/>
                <w:sz w:val="24"/>
                <w:szCs w:val="24"/>
              </w:rPr>
              <w:t>Порядок расчета среднегодовой стоимости чистых активов паевого инвестиционного фонда, определения расчетной стоимости инвестиционных паев паевых инвестиционных фондов. Стоимость имущества, переданного в оплату инвестиционных паев.</w:t>
            </w:r>
          </w:p>
          <w:p w14:paraId="213BC522" w14:textId="77777777" w:rsidR="005C3B83" w:rsidRPr="00217405" w:rsidRDefault="005C3B83" w:rsidP="005C3B83">
            <w:pPr>
              <w:pStyle w:val="a4"/>
              <w:numPr>
                <w:ilvl w:val="1"/>
                <w:numId w:val="1"/>
              </w:numPr>
              <w:spacing w:after="0" w:line="240" w:lineRule="auto"/>
              <w:ind w:hanging="534"/>
              <w:jc w:val="both"/>
              <w:rPr>
                <w:rFonts w:ascii="Times New Roman" w:hAnsi="Times New Roman"/>
                <w:sz w:val="24"/>
                <w:szCs w:val="24"/>
              </w:rPr>
            </w:pPr>
            <w:r w:rsidRPr="00217405">
              <w:rPr>
                <w:rFonts w:ascii="Times New Roman" w:hAnsi="Times New Roman"/>
                <w:sz w:val="24"/>
                <w:szCs w:val="24"/>
              </w:rPr>
              <w:t>Особенности ведения специализированным депозитарием реестра владельцев инвестиционных паев.</w:t>
            </w:r>
          </w:p>
          <w:p w14:paraId="0D0679D4" w14:textId="77777777" w:rsidR="005C3B83" w:rsidRPr="00217405" w:rsidRDefault="005C3B83" w:rsidP="005C3B83">
            <w:pPr>
              <w:pStyle w:val="a4"/>
              <w:numPr>
                <w:ilvl w:val="1"/>
                <w:numId w:val="1"/>
              </w:numPr>
              <w:spacing w:after="0" w:line="240" w:lineRule="auto"/>
              <w:ind w:hanging="534"/>
              <w:jc w:val="both"/>
              <w:rPr>
                <w:rFonts w:ascii="Times New Roman" w:hAnsi="Times New Roman"/>
                <w:sz w:val="24"/>
                <w:szCs w:val="24"/>
              </w:rPr>
            </w:pPr>
            <w:r w:rsidRPr="00217405">
              <w:rPr>
                <w:rFonts w:ascii="Times New Roman" w:hAnsi="Times New Roman"/>
                <w:sz w:val="24"/>
                <w:szCs w:val="24"/>
              </w:rPr>
              <w:t>Контроль со стороны специализированного депозитария:</w:t>
            </w:r>
          </w:p>
          <w:p w14:paraId="4C7C70A3" w14:textId="77777777" w:rsidR="005C3B83" w:rsidRPr="00217405" w:rsidRDefault="005C3B83" w:rsidP="005C3B83">
            <w:pPr>
              <w:pStyle w:val="a4"/>
              <w:numPr>
                <w:ilvl w:val="0"/>
                <w:numId w:val="11"/>
              </w:numPr>
              <w:spacing w:after="0" w:line="240" w:lineRule="auto"/>
              <w:ind w:left="1310" w:hanging="425"/>
              <w:jc w:val="both"/>
              <w:rPr>
                <w:rFonts w:ascii="Times New Roman" w:hAnsi="Times New Roman"/>
                <w:sz w:val="24"/>
                <w:szCs w:val="24"/>
              </w:rPr>
            </w:pPr>
            <w:r w:rsidRPr="00217405">
              <w:rPr>
                <w:rFonts w:ascii="Times New Roman" w:hAnsi="Times New Roman"/>
                <w:sz w:val="24"/>
                <w:szCs w:val="24"/>
              </w:rPr>
              <w:t>процесса формирования паевого инвестиционного фонда;</w:t>
            </w:r>
          </w:p>
          <w:p w14:paraId="5CFA0703" w14:textId="77777777" w:rsidR="005C3B83" w:rsidRPr="00217405" w:rsidRDefault="005C3B83" w:rsidP="005C3B83">
            <w:pPr>
              <w:pStyle w:val="a4"/>
              <w:numPr>
                <w:ilvl w:val="0"/>
                <w:numId w:val="11"/>
              </w:numPr>
              <w:spacing w:after="0" w:line="240" w:lineRule="auto"/>
              <w:ind w:left="1310" w:hanging="425"/>
              <w:jc w:val="both"/>
              <w:rPr>
                <w:rFonts w:ascii="Times New Roman" w:hAnsi="Times New Roman"/>
                <w:sz w:val="24"/>
                <w:szCs w:val="24"/>
              </w:rPr>
            </w:pPr>
            <w:r w:rsidRPr="00217405">
              <w:rPr>
                <w:rFonts w:ascii="Times New Roman" w:hAnsi="Times New Roman"/>
                <w:sz w:val="24"/>
                <w:szCs w:val="24"/>
              </w:rPr>
              <w:t>состава и структуры активов паевого инвестиционного фонда;</w:t>
            </w:r>
          </w:p>
          <w:p w14:paraId="7EEBEA35" w14:textId="77777777" w:rsidR="005C3B83" w:rsidRPr="00217405" w:rsidRDefault="005C3B83" w:rsidP="005C3B83">
            <w:pPr>
              <w:pStyle w:val="a4"/>
              <w:numPr>
                <w:ilvl w:val="0"/>
                <w:numId w:val="11"/>
              </w:numPr>
              <w:spacing w:after="0" w:line="240" w:lineRule="auto"/>
              <w:ind w:left="1310" w:hanging="425"/>
              <w:jc w:val="both"/>
              <w:rPr>
                <w:rFonts w:ascii="Times New Roman" w:hAnsi="Times New Roman"/>
                <w:sz w:val="24"/>
                <w:szCs w:val="24"/>
              </w:rPr>
            </w:pPr>
            <w:r w:rsidRPr="00217405">
              <w:rPr>
                <w:rFonts w:ascii="Times New Roman" w:hAnsi="Times New Roman"/>
                <w:sz w:val="24"/>
                <w:szCs w:val="24"/>
              </w:rPr>
              <w:t>порядка определения стоимости чистых активов и расчетной стоимости одного инвестиционного пая;</w:t>
            </w:r>
          </w:p>
          <w:p w14:paraId="3B84F794" w14:textId="77777777" w:rsidR="005C3B83" w:rsidRPr="00217405" w:rsidRDefault="005C3B83" w:rsidP="005C3B83">
            <w:pPr>
              <w:pStyle w:val="a4"/>
              <w:numPr>
                <w:ilvl w:val="0"/>
                <w:numId w:val="11"/>
              </w:numPr>
              <w:spacing w:after="0" w:line="240" w:lineRule="auto"/>
              <w:ind w:left="1310" w:hanging="425"/>
              <w:jc w:val="both"/>
              <w:rPr>
                <w:rFonts w:ascii="Times New Roman" w:hAnsi="Times New Roman"/>
                <w:sz w:val="24"/>
                <w:szCs w:val="24"/>
              </w:rPr>
            </w:pPr>
            <w:r w:rsidRPr="00217405">
              <w:rPr>
                <w:rFonts w:ascii="Times New Roman" w:hAnsi="Times New Roman"/>
                <w:sz w:val="24"/>
                <w:szCs w:val="24"/>
              </w:rPr>
              <w:lastRenderedPageBreak/>
              <w:t>выдачи инвестиционных паев после завершения формирования паевого инвестиционного фонда;</w:t>
            </w:r>
          </w:p>
          <w:p w14:paraId="771ABA36" w14:textId="77777777" w:rsidR="005C3B83" w:rsidRPr="00217405" w:rsidRDefault="005C3B83" w:rsidP="005C3B83">
            <w:pPr>
              <w:pStyle w:val="a4"/>
              <w:numPr>
                <w:ilvl w:val="0"/>
                <w:numId w:val="11"/>
              </w:numPr>
              <w:spacing w:after="0" w:line="240" w:lineRule="auto"/>
              <w:ind w:left="1310" w:hanging="425"/>
              <w:jc w:val="both"/>
              <w:rPr>
                <w:rFonts w:ascii="Times New Roman" w:hAnsi="Times New Roman"/>
                <w:sz w:val="24"/>
                <w:szCs w:val="24"/>
              </w:rPr>
            </w:pPr>
            <w:r w:rsidRPr="00217405">
              <w:rPr>
                <w:rFonts w:ascii="Times New Roman" w:hAnsi="Times New Roman"/>
                <w:sz w:val="24"/>
                <w:szCs w:val="24"/>
              </w:rPr>
              <w:t>соблюдения порядка обмена инвестиционных паев;</w:t>
            </w:r>
          </w:p>
          <w:p w14:paraId="57669477" w14:textId="77777777" w:rsidR="005C3B83" w:rsidRPr="00217405" w:rsidRDefault="005C3B83" w:rsidP="005C3B83">
            <w:pPr>
              <w:pStyle w:val="a4"/>
              <w:numPr>
                <w:ilvl w:val="0"/>
                <w:numId w:val="11"/>
              </w:numPr>
              <w:spacing w:after="0" w:line="240" w:lineRule="auto"/>
              <w:ind w:left="1310" w:hanging="425"/>
              <w:jc w:val="both"/>
              <w:rPr>
                <w:rFonts w:ascii="Times New Roman" w:hAnsi="Times New Roman"/>
                <w:sz w:val="24"/>
                <w:szCs w:val="24"/>
              </w:rPr>
            </w:pPr>
            <w:r w:rsidRPr="00217405">
              <w:rPr>
                <w:rFonts w:ascii="Times New Roman" w:hAnsi="Times New Roman"/>
                <w:sz w:val="24"/>
                <w:szCs w:val="24"/>
              </w:rPr>
              <w:t>соблюдения процедуры обмена всех инвестиционных паев одного открытого паевого инвестиционного фонда на инвестиционные паи другого открытого паевого инвестиционного фонда;</w:t>
            </w:r>
          </w:p>
          <w:p w14:paraId="155A73F9" w14:textId="77777777" w:rsidR="005C3B83" w:rsidRPr="00217405" w:rsidRDefault="005C3B83" w:rsidP="005C3B83">
            <w:pPr>
              <w:pStyle w:val="a4"/>
              <w:numPr>
                <w:ilvl w:val="0"/>
                <w:numId w:val="11"/>
              </w:numPr>
              <w:spacing w:after="0" w:line="240" w:lineRule="auto"/>
              <w:ind w:left="1310" w:hanging="425"/>
              <w:jc w:val="both"/>
              <w:rPr>
                <w:rFonts w:ascii="Times New Roman" w:hAnsi="Times New Roman"/>
                <w:sz w:val="24"/>
                <w:szCs w:val="24"/>
              </w:rPr>
            </w:pPr>
            <w:r w:rsidRPr="00217405">
              <w:rPr>
                <w:rFonts w:ascii="Times New Roman" w:hAnsi="Times New Roman"/>
                <w:sz w:val="24"/>
                <w:szCs w:val="24"/>
              </w:rPr>
              <w:t>порядка погашения инвестиционных паев;</w:t>
            </w:r>
          </w:p>
          <w:p w14:paraId="4A1FC9A9" w14:textId="77777777" w:rsidR="005C3B83" w:rsidRPr="00217405" w:rsidRDefault="005C3B83" w:rsidP="005C3B83">
            <w:pPr>
              <w:pStyle w:val="a4"/>
              <w:numPr>
                <w:ilvl w:val="0"/>
                <w:numId w:val="11"/>
              </w:numPr>
              <w:spacing w:after="0" w:line="240" w:lineRule="auto"/>
              <w:ind w:left="1310" w:hanging="425"/>
              <w:jc w:val="both"/>
              <w:rPr>
                <w:rFonts w:ascii="Times New Roman" w:hAnsi="Times New Roman"/>
                <w:sz w:val="24"/>
                <w:szCs w:val="24"/>
              </w:rPr>
            </w:pPr>
            <w:r w:rsidRPr="00217405">
              <w:rPr>
                <w:rFonts w:ascii="Times New Roman" w:hAnsi="Times New Roman"/>
                <w:sz w:val="24"/>
                <w:szCs w:val="24"/>
              </w:rPr>
              <w:t>соблюдения установленных размеров и порядка начисления вознаграждений управляющей компании, специализированному депозитарию, лицу, осуществляющему ведение реестра владельцев инвестиционных паев, аудиторской организации и оценщику;</w:t>
            </w:r>
          </w:p>
          <w:p w14:paraId="408826B2" w14:textId="77777777" w:rsidR="005C3B83" w:rsidRPr="00217405" w:rsidRDefault="005C3B83" w:rsidP="005C3B83">
            <w:pPr>
              <w:pStyle w:val="a4"/>
              <w:numPr>
                <w:ilvl w:val="0"/>
                <w:numId w:val="11"/>
              </w:numPr>
              <w:spacing w:after="0" w:line="240" w:lineRule="auto"/>
              <w:ind w:left="1310" w:hanging="425"/>
              <w:jc w:val="both"/>
              <w:rPr>
                <w:rFonts w:ascii="Times New Roman" w:hAnsi="Times New Roman"/>
                <w:sz w:val="24"/>
                <w:szCs w:val="24"/>
              </w:rPr>
            </w:pPr>
            <w:r w:rsidRPr="00217405">
              <w:rPr>
                <w:rFonts w:ascii="Times New Roman" w:hAnsi="Times New Roman"/>
                <w:sz w:val="24"/>
                <w:szCs w:val="24"/>
              </w:rPr>
              <w:t>соблюдения установленных порядка и сроков передачи управляющей компанией своих прав и обязанностей по договору доверительного управления паевым инвестиционным фондом другой управляющей компании;</w:t>
            </w:r>
          </w:p>
          <w:p w14:paraId="42414D63" w14:textId="77777777" w:rsidR="005C3B83" w:rsidRPr="00217405" w:rsidRDefault="005C3B83" w:rsidP="005C3B83">
            <w:pPr>
              <w:pStyle w:val="a4"/>
              <w:numPr>
                <w:ilvl w:val="0"/>
                <w:numId w:val="11"/>
              </w:numPr>
              <w:spacing w:after="0" w:line="240" w:lineRule="auto"/>
              <w:ind w:left="1310" w:hanging="425"/>
              <w:jc w:val="both"/>
              <w:rPr>
                <w:rFonts w:ascii="Times New Roman" w:hAnsi="Times New Roman"/>
                <w:sz w:val="24"/>
                <w:szCs w:val="24"/>
              </w:rPr>
            </w:pPr>
            <w:r w:rsidRPr="00217405">
              <w:rPr>
                <w:rFonts w:ascii="Times New Roman" w:hAnsi="Times New Roman"/>
                <w:sz w:val="24"/>
                <w:szCs w:val="24"/>
              </w:rPr>
              <w:t>соблюдения управляющей компанией установленных порядка и сроков прекращения паевого инвестиционного фонда.</w:t>
            </w:r>
          </w:p>
        </w:tc>
      </w:tr>
      <w:tr w:rsidR="005C3B83" w14:paraId="30E1DB85" w14:textId="77777777" w:rsidTr="00383700">
        <w:tc>
          <w:tcPr>
            <w:tcW w:w="9237" w:type="dxa"/>
            <w:shd w:val="clear" w:color="auto" w:fill="auto"/>
          </w:tcPr>
          <w:p w14:paraId="3BA0D78C" w14:textId="77777777" w:rsidR="005C3B83" w:rsidRPr="00217405" w:rsidRDefault="005C3B83" w:rsidP="005C3B83">
            <w:pPr>
              <w:pStyle w:val="a4"/>
              <w:numPr>
                <w:ilvl w:val="0"/>
                <w:numId w:val="1"/>
              </w:numPr>
              <w:spacing w:after="0" w:line="240" w:lineRule="auto"/>
              <w:ind w:left="318" w:hanging="318"/>
              <w:jc w:val="both"/>
              <w:rPr>
                <w:rFonts w:ascii="Times New Roman" w:hAnsi="Times New Roman"/>
                <w:sz w:val="24"/>
                <w:szCs w:val="24"/>
              </w:rPr>
            </w:pPr>
            <w:r w:rsidRPr="00217405">
              <w:rPr>
                <w:rFonts w:ascii="Times New Roman" w:hAnsi="Times New Roman"/>
                <w:b/>
                <w:sz w:val="24"/>
                <w:szCs w:val="24"/>
              </w:rPr>
              <w:lastRenderedPageBreak/>
              <w:t>Негосударственные пенсионные фонды, управление их активами. Взаимодействие негосударственного пенсионного фонда, его управляющей компании со специализированным депозитарием (12 часов).</w:t>
            </w:r>
          </w:p>
          <w:p w14:paraId="2479E6DC" w14:textId="77777777" w:rsidR="005C3B83" w:rsidRPr="00217405" w:rsidRDefault="005C3B83" w:rsidP="00214E46">
            <w:pPr>
              <w:ind w:left="708" w:hanging="394"/>
              <w:jc w:val="both"/>
              <w:rPr>
                <w:szCs w:val="24"/>
              </w:rPr>
            </w:pPr>
            <w:r w:rsidRPr="00217405">
              <w:rPr>
                <w:szCs w:val="24"/>
              </w:rPr>
              <w:t>3.1 Основные понятия в соответствии с Федеральным законом «О негосударственных пенсионных фондах».</w:t>
            </w:r>
          </w:p>
          <w:p w14:paraId="739A46F5" w14:textId="77777777" w:rsidR="005C3B83" w:rsidRPr="00217405" w:rsidRDefault="005C3B83" w:rsidP="005C3B83">
            <w:pPr>
              <w:pStyle w:val="ConsPlusNormal"/>
              <w:numPr>
                <w:ilvl w:val="0"/>
                <w:numId w:val="12"/>
              </w:numPr>
              <w:ind w:left="1165"/>
              <w:jc w:val="both"/>
              <w:rPr>
                <w:rFonts w:ascii="Times New Roman" w:hAnsi="Times New Roman" w:cs="Times New Roman"/>
                <w:sz w:val="24"/>
                <w:szCs w:val="24"/>
              </w:rPr>
            </w:pPr>
            <w:r w:rsidRPr="00217405">
              <w:rPr>
                <w:rFonts w:ascii="Times New Roman" w:hAnsi="Times New Roman" w:cs="Times New Roman"/>
                <w:sz w:val="24"/>
                <w:szCs w:val="24"/>
              </w:rPr>
              <w:t xml:space="preserve">Пенсионные резервы. </w:t>
            </w:r>
          </w:p>
          <w:p w14:paraId="00A11853" w14:textId="77777777" w:rsidR="005C3B83" w:rsidRPr="00217405" w:rsidRDefault="005C3B83" w:rsidP="005C3B83">
            <w:pPr>
              <w:pStyle w:val="ConsPlusNormal"/>
              <w:numPr>
                <w:ilvl w:val="0"/>
                <w:numId w:val="12"/>
              </w:numPr>
              <w:ind w:left="1165"/>
              <w:jc w:val="both"/>
              <w:rPr>
                <w:rFonts w:ascii="Times New Roman" w:hAnsi="Times New Roman" w:cs="Times New Roman"/>
                <w:sz w:val="24"/>
                <w:szCs w:val="24"/>
              </w:rPr>
            </w:pPr>
            <w:r w:rsidRPr="00217405">
              <w:rPr>
                <w:rFonts w:ascii="Times New Roman" w:hAnsi="Times New Roman" w:cs="Times New Roman"/>
                <w:sz w:val="24"/>
                <w:szCs w:val="24"/>
              </w:rPr>
              <w:t xml:space="preserve">Пенсионные накопления. </w:t>
            </w:r>
          </w:p>
          <w:p w14:paraId="3F2ECA3F" w14:textId="77777777" w:rsidR="005C3B83" w:rsidRPr="00217405" w:rsidRDefault="005C3B83" w:rsidP="005C3B83">
            <w:pPr>
              <w:pStyle w:val="ConsPlusNormal"/>
              <w:numPr>
                <w:ilvl w:val="0"/>
                <w:numId w:val="12"/>
              </w:numPr>
              <w:ind w:left="1165"/>
              <w:jc w:val="both"/>
              <w:rPr>
                <w:rFonts w:ascii="Times New Roman" w:hAnsi="Times New Roman" w:cs="Times New Roman"/>
                <w:sz w:val="24"/>
                <w:szCs w:val="24"/>
              </w:rPr>
            </w:pPr>
            <w:r w:rsidRPr="00217405">
              <w:rPr>
                <w:rFonts w:ascii="Times New Roman" w:hAnsi="Times New Roman" w:cs="Times New Roman"/>
                <w:sz w:val="24"/>
                <w:szCs w:val="24"/>
              </w:rPr>
              <w:t xml:space="preserve">Инвестиционный портфель негосударственного пенсионного фонда по обязательному пенсионному страхованию. </w:t>
            </w:r>
          </w:p>
          <w:p w14:paraId="01119F2B" w14:textId="77777777" w:rsidR="005C3B83" w:rsidRPr="00217405" w:rsidRDefault="005C3B83" w:rsidP="005C3B83">
            <w:pPr>
              <w:pStyle w:val="ConsPlusNormal"/>
              <w:numPr>
                <w:ilvl w:val="0"/>
                <w:numId w:val="12"/>
              </w:numPr>
              <w:ind w:left="1165"/>
              <w:jc w:val="both"/>
              <w:rPr>
                <w:rFonts w:ascii="Times New Roman" w:hAnsi="Times New Roman" w:cs="Times New Roman"/>
                <w:sz w:val="24"/>
                <w:szCs w:val="24"/>
              </w:rPr>
            </w:pPr>
            <w:r w:rsidRPr="00217405">
              <w:rPr>
                <w:rFonts w:ascii="Times New Roman" w:hAnsi="Times New Roman" w:cs="Times New Roman"/>
                <w:sz w:val="24"/>
                <w:szCs w:val="24"/>
              </w:rPr>
              <w:t xml:space="preserve">Инвестиционный портфель управляющей компании. </w:t>
            </w:r>
          </w:p>
          <w:p w14:paraId="1C13F01E" w14:textId="77777777" w:rsidR="005C3B83" w:rsidRPr="00217405" w:rsidRDefault="005C3B83" w:rsidP="005C3B83">
            <w:pPr>
              <w:pStyle w:val="ConsPlusNormal"/>
              <w:numPr>
                <w:ilvl w:val="0"/>
                <w:numId w:val="12"/>
              </w:numPr>
              <w:ind w:left="1165"/>
              <w:jc w:val="both"/>
              <w:rPr>
                <w:rFonts w:ascii="Times New Roman" w:hAnsi="Times New Roman" w:cs="Times New Roman"/>
                <w:sz w:val="24"/>
                <w:szCs w:val="24"/>
              </w:rPr>
            </w:pPr>
            <w:r w:rsidRPr="00217405">
              <w:rPr>
                <w:rFonts w:ascii="Times New Roman" w:hAnsi="Times New Roman" w:cs="Times New Roman"/>
                <w:sz w:val="24"/>
                <w:szCs w:val="24"/>
              </w:rPr>
              <w:t xml:space="preserve">Результат размещения пенсионных резервов. Результат инвестирования средств пенсионных накоплений. </w:t>
            </w:r>
          </w:p>
          <w:p w14:paraId="43EF6AEB" w14:textId="77777777" w:rsidR="005C3B83" w:rsidRPr="00217405" w:rsidRDefault="005C3B83" w:rsidP="005C3B83">
            <w:pPr>
              <w:pStyle w:val="ConsPlusNormal"/>
              <w:numPr>
                <w:ilvl w:val="0"/>
                <w:numId w:val="12"/>
              </w:numPr>
              <w:ind w:left="1165"/>
              <w:jc w:val="both"/>
              <w:rPr>
                <w:rFonts w:ascii="Times New Roman" w:hAnsi="Times New Roman" w:cs="Times New Roman"/>
                <w:sz w:val="24"/>
                <w:szCs w:val="24"/>
              </w:rPr>
            </w:pPr>
            <w:r w:rsidRPr="00217405">
              <w:rPr>
                <w:rFonts w:ascii="Times New Roman" w:hAnsi="Times New Roman" w:cs="Times New Roman"/>
                <w:sz w:val="24"/>
                <w:szCs w:val="24"/>
              </w:rPr>
              <w:t xml:space="preserve">Пенсионные накопления, не включенные в резервы фонда. Результат инвестирования средств пенсионных накоплений, не включенных в резервы фонда. </w:t>
            </w:r>
          </w:p>
          <w:p w14:paraId="52E58B4E" w14:textId="77777777" w:rsidR="005C3B83" w:rsidRPr="00217405" w:rsidRDefault="005C3B83" w:rsidP="005C3B83">
            <w:pPr>
              <w:pStyle w:val="ConsPlusNormal"/>
              <w:numPr>
                <w:ilvl w:val="0"/>
                <w:numId w:val="12"/>
              </w:numPr>
              <w:ind w:left="1165"/>
              <w:jc w:val="both"/>
              <w:rPr>
                <w:rFonts w:ascii="Times New Roman" w:hAnsi="Times New Roman" w:cs="Times New Roman"/>
                <w:sz w:val="24"/>
                <w:szCs w:val="24"/>
              </w:rPr>
            </w:pPr>
            <w:r w:rsidRPr="00217405">
              <w:rPr>
                <w:rFonts w:ascii="Times New Roman" w:hAnsi="Times New Roman" w:cs="Times New Roman"/>
                <w:sz w:val="24"/>
                <w:szCs w:val="24"/>
              </w:rPr>
              <w:t xml:space="preserve">Средства взносов на </w:t>
            </w:r>
            <w:proofErr w:type="spellStart"/>
            <w:r w:rsidRPr="00217405">
              <w:rPr>
                <w:rFonts w:ascii="Times New Roman" w:hAnsi="Times New Roman" w:cs="Times New Roman"/>
                <w:sz w:val="24"/>
                <w:szCs w:val="24"/>
              </w:rPr>
              <w:t>софинансирование</w:t>
            </w:r>
            <w:proofErr w:type="spellEnd"/>
            <w:r w:rsidRPr="00217405">
              <w:rPr>
                <w:rFonts w:ascii="Times New Roman" w:hAnsi="Times New Roman" w:cs="Times New Roman"/>
                <w:sz w:val="24"/>
                <w:szCs w:val="24"/>
              </w:rPr>
              <w:t xml:space="preserve"> формирования пенсионных накоплений. </w:t>
            </w:r>
          </w:p>
          <w:p w14:paraId="4B1E0DE5" w14:textId="77777777" w:rsidR="005C3B83" w:rsidRPr="00217405" w:rsidRDefault="005C3B83" w:rsidP="005C3B83">
            <w:pPr>
              <w:pStyle w:val="ConsPlusNormal"/>
              <w:numPr>
                <w:ilvl w:val="0"/>
                <w:numId w:val="12"/>
              </w:numPr>
              <w:ind w:left="1165"/>
              <w:jc w:val="both"/>
              <w:rPr>
                <w:rFonts w:ascii="Times New Roman" w:hAnsi="Times New Roman" w:cs="Times New Roman"/>
                <w:sz w:val="24"/>
                <w:szCs w:val="24"/>
              </w:rPr>
            </w:pPr>
            <w:r w:rsidRPr="00217405">
              <w:rPr>
                <w:rFonts w:ascii="Times New Roman" w:hAnsi="Times New Roman" w:cs="Times New Roman"/>
                <w:sz w:val="24"/>
                <w:szCs w:val="24"/>
              </w:rPr>
              <w:t>Средства (часть средств) материнского (семейного) капитала, направленные на формирование накопительной пенсии.</w:t>
            </w:r>
          </w:p>
          <w:p w14:paraId="5B07ECDF" w14:textId="77777777" w:rsidR="005C3B83" w:rsidRPr="00217405" w:rsidRDefault="005C3B83" w:rsidP="00214E46">
            <w:pPr>
              <w:pStyle w:val="ConsPlusNormal"/>
              <w:ind w:left="740" w:hanging="426"/>
              <w:jc w:val="both"/>
              <w:rPr>
                <w:rFonts w:ascii="Times New Roman" w:hAnsi="Times New Roman" w:cs="Times New Roman"/>
                <w:sz w:val="24"/>
                <w:szCs w:val="24"/>
              </w:rPr>
            </w:pPr>
            <w:r w:rsidRPr="00217405">
              <w:rPr>
                <w:rFonts w:ascii="Times New Roman" w:hAnsi="Times New Roman" w:cs="Times New Roman"/>
                <w:sz w:val="24"/>
                <w:szCs w:val="24"/>
              </w:rPr>
              <w:t>3.2 Основные права и обязанности субъектов отношений по негосударственному пенсионному обеспечению, обязательному пенсионному страхованию: негосударственных пенсионных фондов, Пенсионного фонда Российской Федерации, специализированных депозитариев, управляющих компаний, вкладчиков, участников, застрахованных лиц и страхователей.</w:t>
            </w:r>
          </w:p>
          <w:p w14:paraId="5A170951" w14:textId="77777777" w:rsidR="005C3B83" w:rsidRPr="00217405" w:rsidRDefault="005C3B83" w:rsidP="00214E46">
            <w:pPr>
              <w:pStyle w:val="ConsPlusNormal"/>
              <w:ind w:left="882" w:hanging="568"/>
              <w:jc w:val="both"/>
              <w:rPr>
                <w:rFonts w:ascii="Times New Roman" w:hAnsi="Times New Roman" w:cs="Times New Roman"/>
                <w:sz w:val="24"/>
                <w:szCs w:val="24"/>
              </w:rPr>
            </w:pPr>
            <w:r w:rsidRPr="00217405">
              <w:rPr>
                <w:rFonts w:ascii="Times New Roman" w:hAnsi="Times New Roman" w:cs="Times New Roman"/>
                <w:sz w:val="24"/>
                <w:szCs w:val="24"/>
              </w:rPr>
              <w:t>3.3   Пенсионные правила негосударственного пенсионного фонда.</w:t>
            </w:r>
          </w:p>
          <w:p w14:paraId="40CD4E41" w14:textId="77777777" w:rsidR="005C3B83" w:rsidRPr="00217405" w:rsidRDefault="005C3B83" w:rsidP="005C3B83">
            <w:pPr>
              <w:pStyle w:val="ConsPlusNormal"/>
              <w:numPr>
                <w:ilvl w:val="0"/>
                <w:numId w:val="14"/>
              </w:numPr>
              <w:ind w:left="1165"/>
              <w:jc w:val="both"/>
              <w:rPr>
                <w:rFonts w:ascii="Times New Roman" w:hAnsi="Times New Roman" w:cs="Times New Roman"/>
                <w:sz w:val="24"/>
                <w:szCs w:val="24"/>
              </w:rPr>
            </w:pPr>
            <w:r w:rsidRPr="00217405">
              <w:rPr>
                <w:rFonts w:ascii="Times New Roman" w:hAnsi="Times New Roman" w:cs="Times New Roman"/>
                <w:sz w:val="24"/>
                <w:szCs w:val="24"/>
              </w:rPr>
              <w:t>Направления и порядок размещения средств пенсионных резервов.</w:t>
            </w:r>
          </w:p>
          <w:p w14:paraId="1F3FE7AF" w14:textId="77777777" w:rsidR="005C3B83" w:rsidRPr="00217405" w:rsidRDefault="005C3B83" w:rsidP="005C3B83">
            <w:pPr>
              <w:pStyle w:val="ConsPlusNormal"/>
              <w:numPr>
                <w:ilvl w:val="0"/>
                <w:numId w:val="13"/>
              </w:numPr>
              <w:ind w:left="1165"/>
              <w:jc w:val="both"/>
              <w:rPr>
                <w:rFonts w:ascii="Times New Roman" w:hAnsi="Times New Roman" w:cs="Times New Roman"/>
                <w:sz w:val="24"/>
                <w:szCs w:val="24"/>
              </w:rPr>
            </w:pPr>
            <w:r w:rsidRPr="00217405">
              <w:rPr>
                <w:rFonts w:ascii="Times New Roman" w:hAnsi="Times New Roman" w:cs="Times New Roman"/>
                <w:sz w:val="24"/>
                <w:szCs w:val="24"/>
              </w:rPr>
              <w:t>Порядок заключения, изменения или прекращения договора доверительного управления средствами пенсионных резервов.</w:t>
            </w:r>
          </w:p>
          <w:p w14:paraId="71A7F6C5" w14:textId="77777777" w:rsidR="005C3B83" w:rsidRPr="00217405" w:rsidRDefault="005C3B83" w:rsidP="005C3B83">
            <w:pPr>
              <w:pStyle w:val="ConsPlusNormal"/>
              <w:numPr>
                <w:ilvl w:val="0"/>
                <w:numId w:val="13"/>
              </w:numPr>
              <w:ind w:left="1165"/>
              <w:jc w:val="both"/>
              <w:rPr>
                <w:rFonts w:ascii="Times New Roman" w:hAnsi="Times New Roman" w:cs="Times New Roman"/>
                <w:sz w:val="24"/>
                <w:szCs w:val="24"/>
              </w:rPr>
            </w:pPr>
            <w:r w:rsidRPr="00217405">
              <w:rPr>
                <w:rFonts w:ascii="Times New Roman" w:hAnsi="Times New Roman" w:cs="Times New Roman"/>
                <w:sz w:val="24"/>
                <w:szCs w:val="24"/>
              </w:rPr>
              <w:t>Порядок определения размера оплаты услуг управляющей компании по управлению средствами пенсионных резервов.</w:t>
            </w:r>
          </w:p>
          <w:p w14:paraId="53B2C75F" w14:textId="77777777" w:rsidR="005C3B83" w:rsidRPr="00217405" w:rsidRDefault="005C3B83" w:rsidP="00214E46">
            <w:pPr>
              <w:pStyle w:val="ConsPlusNormal"/>
              <w:ind w:firstLine="540"/>
              <w:jc w:val="both"/>
              <w:rPr>
                <w:rFonts w:ascii="Times New Roman" w:hAnsi="Times New Roman" w:cs="Times New Roman"/>
                <w:sz w:val="24"/>
                <w:szCs w:val="24"/>
              </w:rPr>
            </w:pPr>
            <w:r w:rsidRPr="00217405">
              <w:rPr>
                <w:rFonts w:ascii="Times New Roman" w:hAnsi="Times New Roman" w:cs="Times New Roman"/>
                <w:sz w:val="24"/>
                <w:szCs w:val="24"/>
              </w:rPr>
              <w:t>3.4      Страховые правила негосударственного пенсионного фонда.</w:t>
            </w:r>
          </w:p>
          <w:p w14:paraId="0C975F42" w14:textId="77777777" w:rsidR="005C3B83" w:rsidRPr="00217405" w:rsidRDefault="005C3B83" w:rsidP="005C3B83">
            <w:pPr>
              <w:pStyle w:val="ConsPlusNormal"/>
              <w:numPr>
                <w:ilvl w:val="0"/>
                <w:numId w:val="15"/>
              </w:numPr>
              <w:ind w:left="1590"/>
              <w:jc w:val="both"/>
              <w:rPr>
                <w:rFonts w:ascii="Times New Roman" w:hAnsi="Times New Roman" w:cs="Times New Roman"/>
                <w:sz w:val="24"/>
                <w:szCs w:val="24"/>
              </w:rPr>
            </w:pPr>
            <w:r w:rsidRPr="00217405">
              <w:rPr>
                <w:rFonts w:ascii="Times New Roman" w:hAnsi="Times New Roman" w:cs="Times New Roman"/>
                <w:sz w:val="24"/>
                <w:szCs w:val="24"/>
              </w:rPr>
              <w:t>Типовые страховые правила негосударственного пенсионного фонда. Порядок инвестирования средств пенсионных накоплений.</w:t>
            </w:r>
          </w:p>
          <w:p w14:paraId="262E0EFD" w14:textId="77777777" w:rsidR="005C3B83" w:rsidRPr="00217405" w:rsidRDefault="005C3B83" w:rsidP="005C3B83">
            <w:pPr>
              <w:pStyle w:val="ConsPlusNormal"/>
              <w:numPr>
                <w:ilvl w:val="0"/>
                <w:numId w:val="15"/>
              </w:numPr>
              <w:ind w:left="1590"/>
              <w:jc w:val="both"/>
              <w:rPr>
                <w:rFonts w:ascii="Times New Roman" w:hAnsi="Times New Roman" w:cs="Times New Roman"/>
                <w:sz w:val="24"/>
                <w:szCs w:val="24"/>
              </w:rPr>
            </w:pPr>
            <w:r w:rsidRPr="00217405">
              <w:rPr>
                <w:rFonts w:ascii="Times New Roman" w:hAnsi="Times New Roman" w:cs="Times New Roman"/>
                <w:sz w:val="24"/>
                <w:szCs w:val="24"/>
              </w:rPr>
              <w:t xml:space="preserve">Порядок заключения, изменения или прекращения договора </w:t>
            </w:r>
            <w:r w:rsidRPr="00217405">
              <w:rPr>
                <w:rFonts w:ascii="Times New Roman" w:hAnsi="Times New Roman" w:cs="Times New Roman"/>
                <w:sz w:val="24"/>
                <w:szCs w:val="24"/>
              </w:rPr>
              <w:lastRenderedPageBreak/>
              <w:t>доверительного управления средствами пенсионных накоплений.</w:t>
            </w:r>
          </w:p>
          <w:p w14:paraId="5001D999" w14:textId="77777777" w:rsidR="005C3B83" w:rsidRPr="00217405" w:rsidRDefault="005C3B83" w:rsidP="005C3B83">
            <w:pPr>
              <w:pStyle w:val="ConsPlusNormal"/>
              <w:numPr>
                <w:ilvl w:val="0"/>
                <w:numId w:val="15"/>
              </w:numPr>
              <w:ind w:left="1590"/>
              <w:jc w:val="both"/>
              <w:rPr>
                <w:rFonts w:ascii="Times New Roman" w:hAnsi="Times New Roman" w:cs="Times New Roman"/>
                <w:sz w:val="24"/>
                <w:szCs w:val="24"/>
              </w:rPr>
            </w:pPr>
            <w:r w:rsidRPr="00217405">
              <w:rPr>
                <w:rFonts w:ascii="Times New Roman" w:hAnsi="Times New Roman" w:cs="Times New Roman"/>
                <w:sz w:val="24"/>
                <w:szCs w:val="24"/>
              </w:rPr>
              <w:t>Вознаграждение и оплата расходов управляющей компании, осуществляющей доверительное управление средствами пенсионных накоплений.</w:t>
            </w:r>
          </w:p>
          <w:p w14:paraId="7205ACAE" w14:textId="77777777" w:rsidR="005C3B83" w:rsidRPr="00217405" w:rsidRDefault="005C3B83" w:rsidP="00214E46">
            <w:pPr>
              <w:pStyle w:val="ConsPlusNormal"/>
              <w:ind w:left="1023" w:hanging="483"/>
              <w:jc w:val="both"/>
              <w:rPr>
                <w:rFonts w:ascii="Times New Roman" w:hAnsi="Times New Roman" w:cs="Times New Roman"/>
                <w:sz w:val="24"/>
                <w:szCs w:val="24"/>
              </w:rPr>
            </w:pPr>
            <w:r w:rsidRPr="00217405">
              <w:rPr>
                <w:rFonts w:ascii="Times New Roman" w:hAnsi="Times New Roman" w:cs="Times New Roman"/>
                <w:sz w:val="24"/>
                <w:szCs w:val="24"/>
              </w:rPr>
              <w:t>3.5 Размещение пенсионных резервов и инвестирование средств пенсионных накоплений.</w:t>
            </w:r>
          </w:p>
          <w:p w14:paraId="5EBE70D7" w14:textId="77777777" w:rsidR="005C3B83" w:rsidRPr="00217405" w:rsidRDefault="005C3B83" w:rsidP="005C3B83">
            <w:pPr>
              <w:pStyle w:val="ConsPlusNormal"/>
              <w:numPr>
                <w:ilvl w:val="0"/>
                <w:numId w:val="16"/>
              </w:numPr>
              <w:ind w:left="1593"/>
              <w:jc w:val="both"/>
              <w:rPr>
                <w:rFonts w:ascii="Times New Roman" w:hAnsi="Times New Roman" w:cs="Times New Roman"/>
                <w:sz w:val="24"/>
                <w:szCs w:val="24"/>
              </w:rPr>
            </w:pPr>
            <w:r w:rsidRPr="00217405">
              <w:rPr>
                <w:rFonts w:ascii="Times New Roman" w:hAnsi="Times New Roman" w:cs="Times New Roman"/>
                <w:sz w:val="24"/>
                <w:szCs w:val="24"/>
              </w:rPr>
              <w:t>Основные принципы размещения средств пенсионных резервов и инвестирования средств пенсионных накоплений. Условия управления средствами пенсионных резервов и организации инвестирования средств пенсионных накоплений. Ограничения на совершение сделок и направление соответствующих поручений при размещении средств пенсионных резервов и инвестировании средств пенсионных накоплений.</w:t>
            </w:r>
          </w:p>
          <w:p w14:paraId="4AFBDC05" w14:textId="77777777" w:rsidR="005C3B83" w:rsidRPr="00217405" w:rsidRDefault="005C3B83" w:rsidP="005C3B83">
            <w:pPr>
              <w:pStyle w:val="ConsPlusNormal"/>
              <w:numPr>
                <w:ilvl w:val="0"/>
                <w:numId w:val="16"/>
              </w:numPr>
              <w:ind w:left="1593"/>
              <w:jc w:val="both"/>
              <w:rPr>
                <w:rFonts w:ascii="Times New Roman" w:hAnsi="Times New Roman" w:cs="Times New Roman"/>
                <w:sz w:val="24"/>
                <w:szCs w:val="24"/>
              </w:rPr>
            </w:pPr>
            <w:r w:rsidRPr="00217405">
              <w:rPr>
                <w:rFonts w:ascii="Times New Roman" w:hAnsi="Times New Roman" w:cs="Times New Roman"/>
                <w:sz w:val="24"/>
                <w:szCs w:val="24"/>
              </w:rPr>
              <w:t>Обязательные условия договора доверительного управления средствами пенсионных резервов и (или) средствами пенсионных накоплений, заключаемого негосударственным пенсионным фондом с управляющей компанией, установленные Банком России. Требования к инвестиционной декларации (как составной части договора доверительного управления) при инвестировании средств пенсионных накоплений, размещении средств пенсионных резервов: описание инвестиционной политики управляющей компании, перечень активов, в которые могут быть инвестированы средства пенсионных накоплений или размещены средства пенсионных резервов, описание рисков, связанных с таким инвестированием или размещением, а также требования к структуре активов.</w:t>
            </w:r>
          </w:p>
          <w:p w14:paraId="3B348595" w14:textId="77777777" w:rsidR="005C3B83" w:rsidRPr="00217405" w:rsidRDefault="005C3B83" w:rsidP="005C3B83">
            <w:pPr>
              <w:pStyle w:val="ConsPlusNormal"/>
              <w:numPr>
                <w:ilvl w:val="0"/>
                <w:numId w:val="16"/>
              </w:numPr>
              <w:ind w:left="1593"/>
              <w:jc w:val="both"/>
              <w:rPr>
                <w:rFonts w:ascii="Times New Roman" w:hAnsi="Times New Roman" w:cs="Times New Roman"/>
                <w:sz w:val="24"/>
                <w:szCs w:val="24"/>
              </w:rPr>
            </w:pPr>
            <w:r w:rsidRPr="00217405">
              <w:rPr>
                <w:rFonts w:ascii="Times New Roman" w:hAnsi="Times New Roman" w:cs="Times New Roman"/>
                <w:sz w:val="24"/>
                <w:szCs w:val="24"/>
              </w:rPr>
              <w:t>Разрешенные, запрещенные активы (объекты инвестирования) пенсионных накоплений, а также условия размещения средств пенсионных накоплений в разрешенные активы, требования к структуре инвестиционного портфеля негосударственного пенсионного фонда, установленные Федеральным законом «О негосударственных пенсионных фондах».</w:t>
            </w:r>
          </w:p>
          <w:p w14:paraId="68F56FD5" w14:textId="77777777" w:rsidR="005C3B83" w:rsidRPr="00217405" w:rsidRDefault="005C3B83" w:rsidP="005C3B83">
            <w:pPr>
              <w:pStyle w:val="ConsPlusNormal"/>
              <w:numPr>
                <w:ilvl w:val="0"/>
                <w:numId w:val="16"/>
              </w:numPr>
              <w:ind w:left="1593"/>
              <w:jc w:val="both"/>
              <w:rPr>
                <w:rFonts w:ascii="Times New Roman" w:hAnsi="Times New Roman" w:cs="Times New Roman"/>
                <w:sz w:val="24"/>
                <w:szCs w:val="24"/>
              </w:rPr>
            </w:pPr>
            <w:r w:rsidRPr="00217405">
              <w:rPr>
                <w:rFonts w:ascii="Times New Roman" w:hAnsi="Times New Roman" w:cs="Times New Roman"/>
                <w:sz w:val="24"/>
                <w:szCs w:val="24"/>
              </w:rPr>
              <w:t>Требования к договору доверительного управления средствами пенсионных накоплений, установленные Федеральным законом «О негосударственных пенсионных фондах". Обязанности управляющей компании, осуществляющей инвестирование средств пенсионных накоплений, установленные Федеральным законом «О негосударственных пенсионных фондах». Требования по поддержанию достаточности собственных средств управляющей компании относительно объема обслуживаемых активов. Отчет об инвестировании средств пенсионных накоплений, отчет о доходах от инвестирования, предоставляемый управляющей компанией в Банк России и соответствующий негосударственный пенсионный фонд.</w:t>
            </w:r>
          </w:p>
          <w:p w14:paraId="2AD01BE4" w14:textId="77777777" w:rsidR="005C3B83" w:rsidRPr="00217405" w:rsidRDefault="005C3B83" w:rsidP="005C3B83">
            <w:pPr>
              <w:pStyle w:val="ConsPlusNormal"/>
              <w:numPr>
                <w:ilvl w:val="0"/>
                <w:numId w:val="16"/>
              </w:numPr>
              <w:ind w:left="1593"/>
              <w:jc w:val="both"/>
              <w:rPr>
                <w:rFonts w:ascii="Times New Roman" w:hAnsi="Times New Roman" w:cs="Times New Roman"/>
                <w:sz w:val="24"/>
                <w:szCs w:val="24"/>
              </w:rPr>
            </w:pPr>
            <w:r w:rsidRPr="00217405">
              <w:rPr>
                <w:rFonts w:ascii="Times New Roman" w:hAnsi="Times New Roman" w:cs="Times New Roman"/>
                <w:sz w:val="24"/>
                <w:szCs w:val="24"/>
              </w:rPr>
              <w:t>Порядок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порядок и сроки расчета рыночной стоимости активов, в которые размещены средства пенсионных резервов, и совокупной рыночной стоимости пенсионных резервов негосударственного пенсионного фонда, установленные Банком России.</w:t>
            </w:r>
          </w:p>
          <w:p w14:paraId="0CCAC7AF" w14:textId="77777777" w:rsidR="005C3B83" w:rsidRPr="00217405" w:rsidRDefault="005C3B83" w:rsidP="005C3B83">
            <w:pPr>
              <w:pStyle w:val="ConsPlusNormal"/>
              <w:numPr>
                <w:ilvl w:val="0"/>
                <w:numId w:val="16"/>
              </w:numPr>
              <w:ind w:left="1593"/>
              <w:jc w:val="both"/>
              <w:rPr>
                <w:rFonts w:ascii="Times New Roman" w:hAnsi="Times New Roman" w:cs="Times New Roman"/>
                <w:sz w:val="24"/>
                <w:szCs w:val="24"/>
              </w:rPr>
            </w:pPr>
            <w:r w:rsidRPr="00217405">
              <w:rPr>
                <w:rFonts w:ascii="Times New Roman" w:hAnsi="Times New Roman" w:cs="Times New Roman"/>
                <w:sz w:val="24"/>
                <w:szCs w:val="24"/>
              </w:rPr>
              <w:t>Правила размещения средств пенсионных резервов негосударственных пенсионных фондов и порядок осуществления контроля за их размещением, установленные Банком России.</w:t>
            </w:r>
          </w:p>
          <w:p w14:paraId="5A5B2D7C" w14:textId="77777777" w:rsidR="005C3B83" w:rsidRPr="00217405" w:rsidRDefault="005C3B83" w:rsidP="005C3B83">
            <w:pPr>
              <w:pStyle w:val="ConsPlusNormal"/>
              <w:numPr>
                <w:ilvl w:val="0"/>
                <w:numId w:val="16"/>
              </w:numPr>
              <w:ind w:left="1593"/>
              <w:jc w:val="both"/>
              <w:rPr>
                <w:rFonts w:ascii="Times New Roman" w:hAnsi="Times New Roman" w:cs="Times New Roman"/>
                <w:sz w:val="24"/>
                <w:szCs w:val="24"/>
              </w:rPr>
            </w:pPr>
            <w:r w:rsidRPr="00217405">
              <w:rPr>
                <w:rFonts w:ascii="Times New Roman" w:hAnsi="Times New Roman" w:cs="Times New Roman"/>
                <w:sz w:val="24"/>
                <w:szCs w:val="24"/>
              </w:rPr>
              <w:lastRenderedPageBreak/>
              <w:t>Хранение пенсионных резервов и средств пенсионных накоплений, размещенных (инвестированных) в ценные бумаги. Контроль за размещением средств пенсионных резервов и инвестированием пенсионных накоплений. Права, обязанности и ответственность специализированного депозитария в процессе управления средствами пенсионных резервов, инвестирования средств пенсионных накоплений.</w:t>
            </w:r>
          </w:p>
          <w:p w14:paraId="76ECCEA0" w14:textId="77777777" w:rsidR="005C3B83" w:rsidRPr="00217405" w:rsidRDefault="005C3B83" w:rsidP="00214E46">
            <w:pPr>
              <w:pStyle w:val="ConsPlusNormal"/>
              <w:ind w:left="743" w:hanging="425"/>
              <w:jc w:val="both"/>
              <w:rPr>
                <w:rFonts w:ascii="Times New Roman" w:hAnsi="Times New Roman" w:cs="Times New Roman"/>
                <w:sz w:val="24"/>
                <w:szCs w:val="24"/>
              </w:rPr>
            </w:pPr>
            <w:r w:rsidRPr="00217405">
              <w:rPr>
                <w:rFonts w:ascii="Times New Roman" w:hAnsi="Times New Roman" w:cs="Times New Roman"/>
                <w:sz w:val="24"/>
                <w:szCs w:val="24"/>
              </w:rPr>
              <w:t>3.6   Контроль и надзор Банка России за управляющими компаниями, осуществляющими деятельность по размещению средств пенсионных резервов и инвестированию средств пенсионных накоплений. Порядок устранения по требованию Банка России последствий нарушения условий управления средствами пенсионных резервов и организации инвестирования средств пенсионных накоплений.</w:t>
            </w:r>
          </w:p>
          <w:p w14:paraId="75BFD57F" w14:textId="77777777" w:rsidR="005C3B83" w:rsidRPr="00217405" w:rsidRDefault="005C3B83" w:rsidP="00214E46">
            <w:pPr>
              <w:spacing w:before="0" w:after="0"/>
              <w:ind w:left="885" w:hanging="567"/>
              <w:jc w:val="both"/>
              <w:rPr>
                <w:szCs w:val="24"/>
              </w:rPr>
            </w:pPr>
            <w:r w:rsidRPr="00217405">
              <w:rPr>
                <w:szCs w:val="24"/>
              </w:rPr>
              <w:t>3.7 Контроль специализированного депозитария:</w:t>
            </w:r>
          </w:p>
          <w:p w14:paraId="5B6E4F43" w14:textId="77777777" w:rsidR="005C3B83" w:rsidRPr="00B835A4" w:rsidRDefault="005C3B83" w:rsidP="005C3B83">
            <w:pPr>
              <w:pStyle w:val="a3"/>
              <w:numPr>
                <w:ilvl w:val="0"/>
                <w:numId w:val="17"/>
              </w:numPr>
              <w:spacing w:before="0" w:beforeAutospacing="0" w:after="0" w:afterAutospacing="0"/>
              <w:ind w:left="1168"/>
              <w:jc w:val="both"/>
              <w:textAlignment w:val="baseline"/>
            </w:pPr>
            <w:r w:rsidRPr="00B835A4">
              <w:t>соответствия состава и структуры пенсионных резервов и пенсионных накоплений негосударственных пенсионных фондов, в том числе находящихся в доверительном управлении управляющих компаний негосударственных пенсионных фондов, установленным требованиям</w:t>
            </w:r>
            <w:r>
              <w:t>;</w:t>
            </w:r>
          </w:p>
          <w:p w14:paraId="31E3AD5C" w14:textId="77777777" w:rsidR="005C3B83" w:rsidRPr="00B835A4" w:rsidRDefault="005C3B83" w:rsidP="005C3B83">
            <w:pPr>
              <w:pStyle w:val="a3"/>
              <w:numPr>
                <w:ilvl w:val="0"/>
                <w:numId w:val="17"/>
              </w:numPr>
              <w:spacing w:before="0" w:beforeAutospacing="0" w:after="0" w:afterAutospacing="0"/>
              <w:ind w:left="1168"/>
              <w:jc w:val="both"/>
              <w:textAlignment w:val="baseline"/>
            </w:pPr>
            <w:r w:rsidRPr="00B835A4">
              <w:t>соответствия деятельности по распоряжению средствами пенсионных накоплений, в том числе находящимися в доверительном управлении у управляющих компаний, осуществляющих инвестирование средств пенсионных накоплений, установленным требованиям</w:t>
            </w:r>
            <w:r>
              <w:t>;</w:t>
            </w:r>
          </w:p>
          <w:p w14:paraId="067E6B1B" w14:textId="77777777" w:rsidR="005C3B83" w:rsidRPr="00B835A4" w:rsidRDefault="005C3B83" w:rsidP="005C3B83">
            <w:pPr>
              <w:pStyle w:val="a3"/>
              <w:numPr>
                <w:ilvl w:val="0"/>
                <w:numId w:val="17"/>
              </w:numPr>
              <w:spacing w:before="0" w:beforeAutospacing="0" w:after="0" w:afterAutospacing="0"/>
              <w:ind w:left="1168"/>
              <w:jc w:val="both"/>
              <w:textAlignment w:val="baseline"/>
            </w:pPr>
            <w:r w:rsidRPr="00B835A4">
              <w:t xml:space="preserve">соблюдения негосударственными пенсионными фондами и их управляющими компаниями ограничений на размещение средств пенсионных резервов и инвестирование средств пенсионных накоплений, правил размещения средств пенсионных резервов и требований по инвестированию средств пенсионных накоплений; </w:t>
            </w:r>
          </w:p>
          <w:p w14:paraId="3ADFA5A1" w14:textId="77777777" w:rsidR="005C3B83" w:rsidRPr="00FE2162" w:rsidRDefault="005C3B83" w:rsidP="005C3B83">
            <w:pPr>
              <w:pStyle w:val="a3"/>
              <w:numPr>
                <w:ilvl w:val="0"/>
                <w:numId w:val="17"/>
              </w:numPr>
              <w:spacing w:before="0" w:beforeAutospacing="0" w:after="0" w:afterAutospacing="0"/>
              <w:ind w:left="1168"/>
              <w:jc w:val="both"/>
              <w:textAlignment w:val="baseline"/>
            </w:pPr>
            <w:r w:rsidRPr="00B835A4">
              <w:t xml:space="preserve">соблюдения негосударственными пенсионными фондами и управляющими компаниями негосударственных пенсионных фондов установленного порядка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установленного порядка и сроков расчета рыночной стоимости активов, в которые размещены средства пенсионных резервов, и совокупной рыночной стоимости пенсионных резервов негосударственного пенсионного фонда. </w:t>
            </w:r>
          </w:p>
        </w:tc>
      </w:tr>
      <w:tr w:rsidR="005C3B83" w14:paraId="542EC064" w14:textId="77777777" w:rsidTr="00383700">
        <w:tc>
          <w:tcPr>
            <w:tcW w:w="9237" w:type="dxa"/>
            <w:shd w:val="clear" w:color="auto" w:fill="auto"/>
          </w:tcPr>
          <w:p w14:paraId="63AF4279" w14:textId="77777777" w:rsidR="005C3B83" w:rsidRPr="00217405" w:rsidRDefault="005C3B83" w:rsidP="005C3B83">
            <w:pPr>
              <w:pStyle w:val="a4"/>
              <w:numPr>
                <w:ilvl w:val="0"/>
                <w:numId w:val="1"/>
              </w:numPr>
              <w:spacing w:after="0" w:line="240" w:lineRule="auto"/>
              <w:ind w:left="318" w:hanging="318"/>
              <w:jc w:val="both"/>
              <w:rPr>
                <w:rFonts w:ascii="Times New Roman" w:hAnsi="Times New Roman"/>
                <w:b/>
                <w:sz w:val="24"/>
                <w:szCs w:val="24"/>
              </w:rPr>
            </w:pPr>
            <w:r w:rsidRPr="00217405">
              <w:rPr>
                <w:rFonts w:ascii="Times New Roman" w:hAnsi="Times New Roman"/>
                <w:b/>
                <w:sz w:val="24"/>
                <w:szCs w:val="24"/>
              </w:rPr>
              <w:lastRenderedPageBreak/>
              <w:t>Ипотечное покрытие и реестр ипотечного покрытия (2 часа).</w:t>
            </w:r>
          </w:p>
          <w:p w14:paraId="55960EE5" w14:textId="77777777" w:rsidR="005C3B83" w:rsidRPr="00217405" w:rsidRDefault="005C3B83" w:rsidP="005C3B83">
            <w:pPr>
              <w:pStyle w:val="a4"/>
              <w:numPr>
                <w:ilvl w:val="1"/>
                <w:numId w:val="1"/>
              </w:numPr>
              <w:spacing w:after="0" w:line="240" w:lineRule="auto"/>
              <w:ind w:left="743" w:hanging="425"/>
              <w:jc w:val="both"/>
              <w:rPr>
                <w:rFonts w:ascii="Times New Roman" w:hAnsi="Times New Roman"/>
                <w:color w:val="000000"/>
                <w:sz w:val="21"/>
                <w:szCs w:val="21"/>
                <w:lang w:eastAsia="ru-RU"/>
              </w:rPr>
            </w:pPr>
            <w:r w:rsidRPr="00217405">
              <w:rPr>
                <w:rFonts w:ascii="Times New Roman" w:hAnsi="Times New Roman"/>
                <w:sz w:val="24"/>
                <w:szCs w:val="24"/>
              </w:rPr>
              <w:t>Ипотечные ценные бумаги и исполнение обязательств по ним. Облигация с ипотечным покрытием. Ипотечный сертификат участия.</w:t>
            </w:r>
          </w:p>
          <w:p w14:paraId="78C65974" w14:textId="77777777" w:rsidR="005C3B83" w:rsidRPr="00217405" w:rsidRDefault="005C3B83" w:rsidP="005C3B83">
            <w:pPr>
              <w:pStyle w:val="a4"/>
              <w:numPr>
                <w:ilvl w:val="1"/>
                <w:numId w:val="1"/>
              </w:numPr>
              <w:spacing w:after="0" w:line="240" w:lineRule="auto"/>
              <w:ind w:left="743" w:hanging="383"/>
              <w:jc w:val="both"/>
              <w:rPr>
                <w:rFonts w:ascii="Times New Roman" w:hAnsi="Times New Roman"/>
                <w:sz w:val="24"/>
                <w:szCs w:val="24"/>
              </w:rPr>
            </w:pPr>
            <w:r w:rsidRPr="00217405">
              <w:rPr>
                <w:rFonts w:ascii="Times New Roman" w:hAnsi="Times New Roman"/>
                <w:sz w:val="24"/>
                <w:szCs w:val="24"/>
              </w:rPr>
              <w:t xml:space="preserve">Ипотечное покрытие. Состав ипотечного покрытия.  Включение имущества в состав ипотечного покрытия. </w:t>
            </w:r>
            <w:r w:rsidRPr="00217405">
              <w:rPr>
                <w:rFonts w:ascii="Times New Roman" w:hAnsi="Times New Roman"/>
                <w:bCs/>
                <w:color w:val="000000"/>
                <w:sz w:val="24"/>
                <w:szCs w:val="24"/>
                <w:lang w:eastAsia="ru-RU"/>
              </w:rPr>
              <w:t>Исключение требований и иного имущества из состава ипотечного покрытия. Реестр ипотечного покрытия. Требования к структуре активов, входящих в состав ипотечного покрытия.</w:t>
            </w:r>
          </w:p>
          <w:p w14:paraId="6C62B76A" w14:textId="77777777" w:rsidR="005C3B83" w:rsidRPr="00217405" w:rsidRDefault="005C3B83" w:rsidP="005C3B83">
            <w:pPr>
              <w:pStyle w:val="a4"/>
              <w:numPr>
                <w:ilvl w:val="1"/>
                <w:numId w:val="1"/>
              </w:numPr>
              <w:spacing w:after="0" w:line="240" w:lineRule="auto"/>
              <w:ind w:left="743" w:hanging="383"/>
              <w:jc w:val="both"/>
              <w:rPr>
                <w:rFonts w:ascii="Times New Roman" w:hAnsi="Times New Roman"/>
                <w:sz w:val="24"/>
                <w:szCs w:val="24"/>
              </w:rPr>
            </w:pPr>
            <w:r w:rsidRPr="00217405">
              <w:rPr>
                <w:rFonts w:ascii="Times New Roman" w:hAnsi="Times New Roman"/>
                <w:sz w:val="24"/>
                <w:szCs w:val="24"/>
              </w:rPr>
              <w:t>Эмиссия и обращение облигаций с ипотечным покрытием. Исполнение обязательств по облигациям с ипотечным покрытием. Досрочное погашение облигаций с ипотечным покрытием.</w:t>
            </w:r>
          </w:p>
          <w:p w14:paraId="22235C83" w14:textId="77777777" w:rsidR="005C3B83" w:rsidRPr="00217405" w:rsidRDefault="005C3B83" w:rsidP="005C3B83">
            <w:pPr>
              <w:pStyle w:val="a4"/>
              <w:numPr>
                <w:ilvl w:val="1"/>
                <w:numId w:val="1"/>
              </w:numPr>
              <w:spacing w:after="0" w:line="240" w:lineRule="auto"/>
              <w:ind w:left="743" w:hanging="383"/>
              <w:jc w:val="both"/>
              <w:rPr>
                <w:rFonts w:ascii="Times New Roman" w:hAnsi="Times New Roman"/>
                <w:sz w:val="24"/>
                <w:szCs w:val="24"/>
              </w:rPr>
            </w:pPr>
            <w:r w:rsidRPr="00217405">
              <w:rPr>
                <w:rFonts w:ascii="Times New Roman" w:hAnsi="Times New Roman"/>
                <w:sz w:val="24"/>
                <w:szCs w:val="24"/>
              </w:rPr>
              <w:t xml:space="preserve">Выдача и обращение ипотечных сертификатов участия. Погашение ипотечных сертификатов участия. </w:t>
            </w:r>
            <w:r w:rsidRPr="00217405">
              <w:rPr>
                <w:rFonts w:ascii="Times New Roman" w:hAnsi="Times New Roman"/>
                <w:sz w:val="24"/>
                <w:szCs w:val="24"/>
                <w:lang w:eastAsia="ru-RU"/>
              </w:rPr>
              <w:t>Осуществление платежей владельцам ипотечных сертификатов участия по обязательствам, требования по которым составляют ипотечное покрытие.</w:t>
            </w:r>
          </w:p>
          <w:p w14:paraId="41A0E2EF" w14:textId="77777777" w:rsidR="005C3B83" w:rsidRPr="00217405" w:rsidRDefault="005C3B83" w:rsidP="005C3B83">
            <w:pPr>
              <w:pStyle w:val="a4"/>
              <w:numPr>
                <w:ilvl w:val="1"/>
                <w:numId w:val="1"/>
              </w:numPr>
              <w:spacing w:after="0" w:line="240" w:lineRule="auto"/>
              <w:ind w:left="743" w:hanging="425"/>
              <w:jc w:val="both"/>
              <w:rPr>
                <w:rFonts w:ascii="Times New Roman" w:hAnsi="Times New Roman"/>
                <w:sz w:val="24"/>
                <w:szCs w:val="24"/>
              </w:rPr>
            </w:pPr>
            <w:r w:rsidRPr="00217405">
              <w:rPr>
                <w:rFonts w:ascii="Times New Roman" w:hAnsi="Times New Roman"/>
                <w:sz w:val="24"/>
                <w:szCs w:val="24"/>
              </w:rPr>
              <w:t>Контрольные и учетные функции специализированного депозитария при ведении реестра ипотечного покрытия.</w:t>
            </w:r>
          </w:p>
        </w:tc>
      </w:tr>
      <w:tr w:rsidR="005C3B83" w14:paraId="5415415E" w14:textId="77777777" w:rsidTr="00383700">
        <w:tc>
          <w:tcPr>
            <w:tcW w:w="9237" w:type="dxa"/>
            <w:shd w:val="clear" w:color="auto" w:fill="auto"/>
          </w:tcPr>
          <w:p w14:paraId="2097A6CE" w14:textId="77777777" w:rsidR="005C3B83" w:rsidRPr="00217405" w:rsidRDefault="005C3B83" w:rsidP="005C3B83">
            <w:pPr>
              <w:pStyle w:val="a4"/>
              <w:numPr>
                <w:ilvl w:val="0"/>
                <w:numId w:val="1"/>
              </w:numPr>
              <w:spacing w:after="0" w:line="240" w:lineRule="auto"/>
              <w:ind w:left="318" w:hanging="318"/>
              <w:jc w:val="both"/>
              <w:rPr>
                <w:rFonts w:ascii="Times New Roman" w:hAnsi="Times New Roman"/>
                <w:b/>
                <w:sz w:val="24"/>
                <w:szCs w:val="24"/>
              </w:rPr>
            </w:pPr>
            <w:r w:rsidRPr="00217405">
              <w:rPr>
                <w:rFonts w:ascii="Times New Roman" w:hAnsi="Times New Roman"/>
                <w:b/>
                <w:sz w:val="24"/>
                <w:szCs w:val="24"/>
              </w:rPr>
              <w:t>Осуществление специализированным депозитарием контрольных и учетных функций в деятельности страховщиков (4 часа)</w:t>
            </w:r>
          </w:p>
          <w:p w14:paraId="74E6E494" w14:textId="77777777" w:rsidR="005C3B83" w:rsidRPr="00217405" w:rsidRDefault="005C3B83" w:rsidP="005C3B83">
            <w:pPr>
              <w:pStyle w:val="a4"/>
              <w:numPr>
                <w:ilvl w:val="1"/>
                <w:numId w:val="1"/>
              </w:numPr>
              <w:spacing w:after="0" w:line="240" w:lineRule="auto"/>
              <w:jc w:val="both"/>
              <w:rPr>
                <w:rFonts w:ascii="Times New Roman" w:hAnsi="Times New Roman"/>
                <w:sz w:val="24"/>
                <w:szCs w:val="24"/>
              </w:rPr>
            </w:pPr>
            <w:r w:rsidRPr="00217405">
              <w:rPr>
                <w:rFonts w:ascii="Times New Roman" w:hAnsi="Times New Roman"/>
                <w:sz w:val="24"/>
                <w:szCs w:val="24"/>
              </w:rPr>
              <w:lastRenderedPageBreak/>
              <w:t>Основные принципы страховой деятельности. Объекты и виды страхования. Страховщики.</w:t>
            </w:r>
          </w:p>
          <w:p w14:paraId="58DC075D" w14:textId="77777777" w:rsidR="005C3B83" w:rsidRPr="00217405" w:rsidRDefault="005C3B83" w:rsidP="005C3B83">
            <w:pPr>
              <w:pStyle w:val="a4"/>
              <w:numPr>
                <w:ilvl w:val="1"/>
                <w:numId w:val="1"/>
              </w:numPr>
              <w:spacing w:after="0" w:line="240" w:lineRule="auto"/>
              <w:jc w:val="both"/>
              <w:rPr>
                <w:rFonts w:ascii="Times New Roman" w:hAnsi="Times New Roman"/>
                <w:sz w:val="24"/>
                <w:szCs w:val="24"/>
              </w:rPr>
            </w:pPr>
            <w:r w:rsidRPr="00217405">
              <w:rPr>
                <w:rFonts w:ascii="Times New Roman" w:hAnsi="Times New Roman"/>
                <w:sz w:val="24"/>
                <w:szCs w:val="24"/>
              </w:rPr>
              <w:t>Виды страхования, при осуществлении которых страховщик обязан учитывать (хранить) в специализированном депозитарии ценные бумаги, принимаемые для покрытия страховых резервов и собственных средств (капитала). Основные требования к специализированному депозитарию страховщика и его функциям, предъявляемые Федеральным законом «Об организации страхового дела в Российской Федерации».</w:t>
            </w:r>
          </w:p>
          <w:p w14:paraId="0C134F88" w14:textId="77777777" w:rsidR="005C3B83" w:rsidRPr="00217405" w:rsidRDefault="005C3B83" w:rsidP="005C3B83">
            <w:pPr>
              <w:pStyle w:val="a4"/>
              <w:numPr>
                <w:ilvl w:val="1"/>
                <w:numId w:val="1"/>
              </w:numPr>
              <w:spacing w:after="0" w:line="240" w:lineRule="auto"/>
              <w:jc w:val="both"/>
              <w:rPr>
                <w:rFonts w:ascii="Times New Roman" w:hAnsi="Times New Roman"/>
                <w:sz w:val="24"/>
                <w:szCs w:val="24"/>
              </w:rPr>
            </w:pPr>
            <w:r w:rsidRPr="00217405">
              <w:rPr>
                <w:rFonts w:ascii="Times New Roman" w:hAnsi="Times New Roman"/>
                <w:sz w:val="24"/>
                <w:szCs w:val="24"/>
              </w:rPr>
              <w:t>Страховые резервы: основные принципы формирования и использования. Требования к составу и структуре активов. Порядок инвестирования средств страховых резервов. Активы, разрешенные для инвестирования.</w:t>
            </w:r>
          </w:p>
          <w:p w14:paraId="5BDED897" w14:textId="77777777" w:rsidR="005C3B83" w:rsidRPr="00217405" w:rsidRDefault="005C3B83" w:rsidP="005C3B83">
            <w:pPr>
              <w:pStyle w:val="a4"/>
              <w:numPr>
                <w:ilvl w:val="1"/>
                <w:numId w:val="1"/>
              </w:numPr>
              <w:spacing w:after="0" w:line="240" w:lineRule="auto"/>
              <w:jc w:val="both"/>
              <w:rPr>
                <w:rFonts w:ascii="Times New Roman" w:hAnsi="Times New Roman"/>
                <w:sz w:val="24"/>
                <w:szCs w:val="24"/>
              </w:rPr>
            </w:pPr>
            <w:r w:rsidRPr="00217405">
              <w:rPr>
                <w:rFonts w:ascii="Times New Roman" w:hAnsi="Times New Roman"/>
                <w:sz w:val="24"/>
                <w:szCs w:val="24"/>
              </w:rPr>
              <w:t>Собственные средства (капитал) страховщика. Требования к составу и структуре активов. Порядок инвестирования собственных средств (капитала), активы, разрешенные для инвестирования.</w:t>
            </w:r>
          </w:p>
          <w:p w14:paraId="0F27FDF0" w14:textId="77777777" w:rsidR="005C3B83" w:rsidRPr="00217405" w:rsidRDefault="005C3B83" w:rsidP="005C3B83">
            <w:pPr>
              <w:pStyle w:val="a4"/>
              <w:numPr>
                <w:ilvl w:val="1"/>
                <w:numId w:val="1"/>
              </w:numPr>
              <w:spacing w:after="0" w:line="240" w:lineRule="auto"/>
              <w:jc w:val="both"/>
              <w:rPr>
                <w:rFonts w:ascii="Times New Roman" w:hAnsi="Times New Roman"/>
                <w:sz w:val="24"/>
                <w:szCs w:val="24"/>
              </w:rPr>
            </w:pPr>
            <w:r w:rsidRPr="00217405">
              <w:rPr>
                <w:rFonts w:ascii="Times New Roman" w:hAnsi="Times New Roman"/>
                <w:sz w:val="24"/>
                <w:szCs w:val="24"/>
              </w:rPr>
              <w:t>Доверительное управление активами страховщиков управляющими компаниями.</w:t>
            </w:r>
          </w:p>
          <w:p w14:paraId="0C4594F1" w14:textId="77777777" w:rsidR="005C3B83" w:rsidRPr="00217405" w:rsidRDefault="005C3B83" w:rsidP="005C3B83">
            <w:pPr>
              <w:pStyle w:val="a4"/>
              <w:numPr>
                <w:ilvl w:val="1"/>
                <w:numId w:val="1"/>
              </w:numPr>
              <w:spacing w:after="0" w:line="240" w:lineRule="auto"/>
              <w:jc w:val="both"/>
              <w:rPr>
                <w:rFonts w:ascii="Times New Roman" w:hAnsi="Times New Roman"/>
                <w:sz w:val="24"/>
                <w:szCs w:val="24"/>
              </w:rPr>
            </w:pPr>
            <w:r w:rsidRPr="00217405">
              <w:rPr>
                <w:rFonts w:ascii="Times New Roman" w:hAnsi="Times New Roman"/>
                <w:sz w:val="24"/>
                <w:szCs w:val="24"/>
              </w:rPr>
              <w:t>Контроль специализированного депозитария:</w:t>
            </w:r>
          </w:p>
          <w:p w14:paraId="646F903B" w14:textId="77777777" w:rsidR="005C3B83" w:rsidRPr="00217405" w:rsidRDefault="005C3B83" w:rsidP="005C3B83">
            <w:pPr>
              <w:pStyle w:val="a4"/>
              <w:numPr>
                <w:ilvl w:val="0"/>
                <w:numId w:val="2"/>
              </w:numPr>
              <w:spacing w:after="0" w:line="240" w:lineRule="auto"/>
              <w:ind w:left="1310"/>
              <w:jc w:val="both"/>
              <w:rPr>
                <w:rFonts w:ascii="Times New Roman" w:hAnsi="Times New Roman"/>
                <w:sz w:val="24"/>
                <w:szCs w:val="24"/>
              </w:rPr>
            </w:pPr>
            <w:r w:rsidRPr="00217405">
              <w:rPr>
                <w:rFonts w:ascii="Times New Roman" w:hAnsi="Times New Roman"/>
                <w:sz w:val="24"/>
                <w:szCs w:val="24"/>
              </w:rPr>
              <w:t>соответствия состава и структуры активов, принимаемых для покрытия страховых резервов и собственных средств (капитала) страховщика;</w:t>
            </w:r>
          </w:p>
          <w:p w14:paraId="26FD077E" w14:textId="77777777" w:rsidR="005C3B83" w:rsidRPr="00217405" w:rsidRDefault="005C3B83" w:rsidP="005C3B83">
            <w:pPr>
              <w:pStyle w:val="a4"/>
              <w:numPr>
                <w:ilvl w:val="0"/>
                <w:numId w:val="2"/>
              </w:numPr>
              <w:spacing w:after="0" w:line="240" w:lineRule="auto"/>
              <w:ind w:left="1310"/>
              <w:jc w:val="both"/>
              <w:rPr>
                <w:rFonts w:ascii="Times New Roman" w:hAnsi="Times New Roman"/>
                <w:sz w:val="24"/>
                <w:szCs w:val="24"/>
              </w:rPr>
            </w:pPr>
            <w:r w:rsidRPr="00217405">
              <w:rPr>
                <w:rFonts w:ascii="Times New Roman" w:hAnsi="Times New Roman"/>
                <w:sz w:val="24"/>
                <w:szCs w:val="24"/>
              </w:rPr>
              <w:t>определения стоимости активов, которые принимаются для покрытия страховых резервов и собственных средств (капитала) страховщика.</w:t>
            </w:r>
          </w:p>
        </w:tc>
      </w:tr>
      <w:tr w:rsidR="005C3B83" w14:paraId="292ECF51" w14:textId="77777777" w:rsidTr="00383700">
        <w:tc>
          <w:tcPr>
            <w:tcW w:w="9237" w:type="dxa"/>
            <w:shd w:val="clear" w:color="auto" w:fill="auto"/>
          </w:tcPr>
          <w:p w14:paraId="4E798FC2" w14:textId="77777777" w:rsidR="005C3B83" w:rsidRPr="00217405" w:rsidRDefault="005C3B83" w:rsidP="005C3B83">
            <w:pPr>
              <w:pStyle w:val="a4"/>
              <w:numPr>
                <w:ilvl w:val="0"/>
                <w:numId w:val="1"/>
              </w:numPr>
              <w:spacing w:after="0" w:line="240" w:lineRule="auto"/>
              <w:ind w:left="318" w:hanging="318"/>
              <w:jc w:val="both"/>
              <w:rPr>
                <w:rFonts w:ascii="Times New Roman" w:hAnsi="Times New Roman"/>
                <w:b/>
                <w:sz w:val="24"/>
                <w:szCs w:val="24"/>
              </w:rPr>
            </w:pPr>
            <w:r w:rsidRPr="00217405">
              <w:rPr>
                <w:rFonts w:ascii="Times New Roman" w:hAnsi="Times New Roman"/>
                <w:b/>
                <w:sz w:val="24"/>
                <w:szCs w:val="24"/>
              </w:rPr>
              <w:lastRenderedPageBreak/>
              <w:t>Функции специализированного депозитария при управлении средствами компенсационного фонда саморегулируемой организации (2 часа)</w:t>
            </w:r>
          </w:p>
          <w:p w14:paraId="288CF2CC" w14:textId="77777777" w:rsidR="005C3B83" w:rsidRPr="00217405" w:rsidRDefault="005C3B83" w:rsidP="005C3B83">
            <w:pPr>
              <w:pStyle w:val="a4"/>
              <w:numPr>
                <w:ilvl w:val="1"/>
                <w:numId w:val="1"/>
              </w:numPr>
              <w:spacing w:after="0" w:line="240" w:lineRule="auto"/>
              <w:jc w:val="both"/>
              <w:rPr>
                <w:rFonts w:ascii="Times New Roman" w:hAnsi="Times New Roman"/>
                <w:sz w:val="24"/>
                <w:szCs w:val="24"/>
              </w:rPr>
            </w:pPr>
            <w:r w:rsidRPr="00217405">
              <w:rPr>
                <w:rFonts w:ascii="Times New Roman" w:hAnsi="Times New Roman"/>
                <w:sz w:val="24"/>
                <w:szCs w:val="24"/>
              </w:rPr>
              <w:t>Саморегулирование в различных отраслях и сферах профессиональной деятельности. Федеральный закон «О саморегулируемых организациях». Виды саморегулируемых организаций (СРО). Органы государственного управления, осуществляющие ведение их реестров, контроль и надзор за деятельностью СРО.</w:t>
            </w:r>
          </w:p>
          <w:p w14:paraId="424B5679" w14:textId="77777777" w:rsidR="005C3B83" w:rsidRPr="00217405" w:rsidRDefault="005C3B83" w:rsidP="005C3B83">
            <w:pPr>
              <w:pStyle w:val="a4"/>
              <w:numPr>
                <w:ilvl w:val="1"/>
                <w:numId w:val="1"/>
              </w:numPr>
              <w:spacing w:after="0" w:line="240" w:lineRule="auto"/>
              <w:jc w:val="both"/>
              <w:rPr>
                <w:rFonts w:ascii="Times New Roman" w:hAnsi="Times New Roman"/>
                <w:sz w:val="24"/>
                <w:szCs w:val="24"/>
              </w:rPr>
            </w:pPr>
            <w:r w:rsidRPr="00217405">
              <w:rPr>
                <w:rFonts w:ascii="Times New Roman" w:hAnsi="Times New Roman"/>
                <w:sz w:val="24"/>
                <w:szCs w:val="24"/>
              </w:rPr>
              <w:t>Компенсационный фонд СРО как способ обеспечения имущественной ответственности членов СРО. Размещение средств компенсационного фонда через управляющие компании. Инвестиционная декларация СРО. Особенности формирования, размещения и использования средств компенсационного фонда в СРО, относящимся к отдельным отраслям (видам профессиональной деятельности).</w:t>
            </w:r>
          </w:p>
          <w:p w14:paraId="5F413C0B" w14:textId="77777777" w:rsidR="005C3B83" w:rsidRPr="00217405" w:rsidRDefault="005C3B83" w:rsidP="005C3B83">
            <w:pPr>
              <w:pStyle w:val="a4"/>
              <w:numPr>
                <w:ilvl w:val="1"/>
                <w:numId w:val="1"/>
              </w:numPr>
              <w:spacing w:after="0" w:line="240" w:lineRule="auto"/>
              <w:jc w:val="both"/>
              <w:rPr>
                <w:rFonts w:ascii="Times New Roman" w:hAnsi="Times New Roman"/>
                <w:sz w:val="24"/>
                <w:szCs w:val="24"/>
              </w:rPr>
            </w:pPr>
            <w:r w:rsidRPr="00217405">
              <w:rPr>
                <w:rFonts w:ascii="Times New Roman" w:hAnsi="Times New Roman"/>
                <w:sz w:val="24"/>
                <w:szCs w:val="24"/>
              </w:rPr>
              <w:t>Основные контрольные и учетные функции специализированного депозитария при обслуживании СРО:</w:t>
            </w:r>
          </w:p>
          <w:p w14:paraId="64A954E6" w14:textId="77777777" w:rsidR="005C3B83" w:rsidRPr="00217405" w:rsidRDefault="005C3B83" w:rsidP="005C3B83">
            <w:pPr>
              <w:pStyle w:val="a4"/>
              <w:numPr>
                <w:ilvl w:val="0"/>
                <w:numId w:val="3"/>
              </w:numPr>
              <w:spacing w:after="0" w:line="240" w:lineRule="auto"/>
              <w:ind w:left="1168" w:hanging="283"/>
              <w:jc w:val="both"/>
              <w:rPr>
                <w:rFonts w:ascii="Times New Roman" w:hAnsi="Times New Roman"/>
                <w:sz w:val="24"/>
                <w:szCs w:val="24"/>
              </w:rPr>
            </w:pPr>
            <w:r w:rsidRPr="00217405">
              <w:rPr>
                <w:rFonts w:ascii="Times New Roman" w:hAnsi="Times New Roman"/>
                <w:sz w:val="24"/>
                <w:szCs w:val="24"/>
              </w:rPr>
              <w:t>учет и хранение ценных бумаг, входящих в состав средств компенсационного фонда;</w:t>
            </w:r>
          </w:p>
          <w:p w14:paraId="4F2AF2C4" w14:textId="77777777" w:rsidR="005C3B83" w:rsidRPr="00217405" w:rsidRDefault="005C3B83" w:rsidP="005C3B83">
            <w:pPr>
              <w:pStyle w:val="a4"/>
              <w:numPr>
                <w:ilvl w:val="0"/>
                <w:numId w:val="3"/>
              </w:numPr>
              <w:spacing w:after="0" w:line="240" w:lineRule="auto"/>
              <w:ind w:left="1168" w:hanging="283"/>
              <w:jc w:val="both"/>
              <w:rPr>
                <w:rFonts w:ascii="Times New Roman" w:hAnsi="Times New Roman"/>
                <w:sz w:val="24"/>
                <w:szCs w:val="24"/>
              </w:rPr>
            </w:pPr>
            <w:r w:rsidRPr="00217405">
              <w:rPr>
                <w:rFonts w:ascii="Times New Roman" w:hAnsi="Times New Roman"/>
                <w:sz w:val="24"/>
                <w:szCs w:val="24"/>
              </w:rPr>
              <w:t>контроль за соблюдением управляющей компанией ограничений по размещению и инвестированию средств компенсационного фонда, включая соответствия состава и структуры активов требованиям нормативных правовых актов Российской Федерации, инвестиционной декларации СРО;</w:t>
            </w:r>
          </w:p>
          <w:p w14:paraId="3DB022AB" w14:textId="77777777" w:rsidR="005C3B83" w:rsidRPr="00217405" w:rsidRDefault="005C3B83" w:rsidP="005C3B83">
            <w:pPr>
              <w:pStyle w:val="a4"/>
              <w:numPr>
                <w:ilvl w:val="0"/>
                <w:numId w:val="3"/>
              </w:numPr>
              <w:spacing w:after="0" w:line="240" w:lineRule="auto"/>
              <w:ind w:left="1168" w:hanging="283"/>
              <w:jc w:val="both"/>
              <w:rPr>
                <w:rFonts w:ascii="Times New Roman" w:hAnsi="Times New Roman"/>
                <w:sz w:val="24"/>
                <w:szCs w:val="24"/>
              </w:rPr>
            </w:pPr>
            <w:r w:rsidRPr="00217405">
              <w:rPr>
                <w:rFonts w:ascii="Times New Roman" w:hAnsi="Times New Roman"/>
                <w:sz w:val="24"/>
                <w:szCs w:val="24"/>
              </w:rPr>
              <w:t>контроль за соблюдением управляющей компанией установленного порядка определения стоимости чистых активов, составляющих средства компенсационного фонда.</w:t>
            </w:r>
          </w:p>
        </w:tc>
      </w:tr>
      <w:tr w:rsidR="005C3B83" w14:paraId="7B91F1CC" w14:textId="77777777" w:rsidTr="00383700">
        <w:trPr>
          <w:trHeight w:val="244"/>
        </w:trPr>
        <w:tc>
          <w:tcPr>
            <w:tcW w:w="9237" w:type="dxa"/>
            <w:shd w:val="clear" w:color="auto" w:fill="auto"/>
          </w:tcPr>
          <w:p w14:paraId="03D41E10" w14:textId="77777777" w:rsidR="005C3B83" w:rsidRPr="00217405" w:rsidRDefault="005C3B83" w:rsidP="00214E46">
            <w:pPr>
              <w:jc w:val="both"/>
              <w:rPr>
                <w:b/>
                <w:szCs w:val="24"/>
              </w:rPr>
            </w:pPr>
            <w:r w:rsidRPr="00217405">
              <w:rPr>
                <w:b/>
                <w:szCs w:val="24"/>
              </w:rPr>
              <w:t>Итоговый контроль (2 часа)</w:t>
            </w:r>
          </w:p>
        </w:tc>
      </w:tr>
      <w:tr w:rsidR="005C3B83" w14:paraId="05A32BCF" w14:textId="77777777" w:rsidTr="00383700">
        <w:trPr>
          <w:trHeight w:val="244"/>
        </w:trPr>
        <w:tc>
          <w:tcPr>
            <w:tcW w:w="9237" w:type="dxa"/>
            <w:shd w:val="clear" w:color="auto" w:fill="auto"/>
          </w:tcPr>
          <w:p w14:paraId="28F622D6" w14:textId="77777777" w:rsidR="005C3B83" w:rsidRPr="00217405" w:rsidRDefault="005C3B83" w:rsidP="00214E46">
            <w:pPr>
              <w:jc w:val="both"/>
              <w:rPr>
                <w:b/>
                <w:szCs w:val="24"/>
              </w:rPr>
            </w:pPr>
            <w:r w:rsidRPr="00217405">
              <w:rPr>
                <w:b/>
                <w:szCs w:val="24"/>
              </w:rPr>
              <w:t>Всего – 42 часа</w:t>
            </w:r>
          </w:p>
        </w:tc>
      </w:tr>
    </w:tbl>
    <w:p w14:paraId="41F0B524" w14:textId="02878DCD" w:rsidR="00383700" w:rsidRDefault="00383700" w:rsidP="00383700">
      <w:pPr>
        <w:spacing w:before="0" w:after="0"/>
        <w:rPr>
          <w:b/>
          <w:szCs w:val="24"/>
        </w:rPr>
      </w:pPr>
    </w:p>
    <w:p w14:paraId="10880FF2" w14:textId="77777777" w:rsidR="00383700" w:rsidRPr="00826986" w:rsidRDefault="00383700" w:rsidP="00383700">
      <w:pPr>
        <w:spacing w:before="0" w:after="0"/>
        <w:rPr>
          <w:b/>
          <w:szCs w:val="24"/>
        </w:rPr>
      </w:pPr>
      <w:r w:rsidRPr="00826986">
        <w:rPr>
          <w:b/>
          <w:szCs w:val="24"/>
        </w:rPr>
        <w:t>Продолжительность, формы обучения</w:t>
      </w:r>
      <w:r>
        <w:rPr>
          <w:b/>
          <w:szCs w:val="24"/>
        </w:rPr>
        <w:t>.</w:t>
      </w:r>
    </w:p>
    <w:p w14:paraId="4ED874BB" w14:textId="77777777" w:rsidR="00383700" w:rsidRDefault="00383700" w:rsidP="00383700">
      <w:pPr>
        <w:spacing w:before="0" w:after="0"/>
        <w:ind w:firstLine="567"/>
        <w:jc w:val="both"/>
        <w:rPr>
          <w:szCs w:val="24"/>
        </w:rPr>
      </w:pPr>
      <w:r>
        <w:rPr>
          <w:szCs w:val="24"/>
        </w:rPr>
        <w:lastRenderedPageBreak/>
        <w:t>42 академических часа, включая 2 часа – итоговый контроль (контрольная работа). Возможная реализация программы: 10 занятий по 4 академических часа и 1 занятие продолжительностью 2 академических часа (итоговая работа).</w:t>
      </w:r>
    </w:p>
    <w:p w14:paraId="25579763" w14:textId="2C57875C" w:rsidR="00383700" w:rsidRDefault="00383700" w:rsidP="00383700">
      <w:pPr>
        <w:spacing w:before="0" w:after="0"/>
        <w:rPr>
          <w:b/>
          <w:szCs w:val="24"/>
        </w:rPr>
      </w:pPr>
      <w:bookmarkStart w:id="0" w:name="_GoBack"/>
      <w:bookmarkEnd w:id="0"/>
    </w:p>
    <w:p w14:paraId="34F0AF76" w14:textId="77777777" w:rsidR="00383700" w:rsidRDefault="00383700" w:rsidP="00383700">
      <w:pPr>
        <w:spacing w:before="0" w:after="0"/>
        <w:rPr>
          <w:b/>
          <w:szCs w:val="24"/>
        </w:rPr>
      </w:pPr>
    </w:p>
    <w:p w14:paraId="4A61F6C7" w14:textId="77777777" w:rsidR="00383700" w:rsidRPr="00646F2C" w:rsidRDefault="00383700" w:rsidP="00383700">
      <w:pPr>
        <w:spacing w:before="0" w:after="0"/>
        <w:rPr>
          <w:b/>
          <w:szCs w:val="24"/>
        </w:rPr>
      </w:pPr>
      <w:r w:rsidRPr="00646F2C">
        <w:rPr>
          <w:b/>
          <w:szCs w:val="24"/>
        </w:rPr>
        <w:t>Контроль освоения программы</w:t>
      </w:r>
    </w:p>
    <w:p w14:paraId="2B44FBD3" w14:textId="77777777" w:rsidR="00383700" w:rsidRDefault="00383700" w:rsidP="00383700">
      <w:pPr>
        <w:spacing w:before="0" w:after="0"/>
        <w:ind w:firstLine="567"/>
        <w:jc w:val="both"/>
        <w:rPr>
          <w:szCs w:val="24"/>
        </w:rPr>
      </w:pPr>
      <w:r>
        <w:rPr>
          <w:szCs w:val="24"/>
        </w:rPr>
        <w:t>По окончании обучения слушателям в течении 2 часов предлагается выполнить контрольную работу, содержащую 50 заданий – тестов с выборов одного верного ответа, вопросов с открытыми ответами и задач. Слушатель получает зачет, ответив верно не менее, чем на 50 процентов контрольных материалов.</w:t>
      </w:r>
    </w:p>
    <w:p w14:paraId="3B7F9F9C" w14:textId="77777777" w:rsidR="00C97D01" w:rsidRDefault="00C97D01"/>
    <w:sectPr w:rsidR="00C97D01" w:rsidSect="005C3B8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53CC"/>
    <w:multiLevelType w:val="hybridMultilevel"/>
    <w:tmpl w:val="06A425E8"/>
    <w:lvl w:ilvl="0" w:tplc="21A06B7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15:restartNumberingAfterBreak="0">
    <w:nsid w:val="0AB73F06"/>
    <w:multiLevelType w:val="hybridMultilevel"/>
    <w:tmpl w:val="AE94FE4A"/>
    <w:lvl w:ilvl="0" w:tplc="21A06B72">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 w15:restartNumberingAfterBreak="0">
    <w:nsid w:val="1B7802AE"/>
    <w:multiLevelType w:val="hybridMultilevel"/>
    <w:tmpl w:val="E7DA36EA"/>
    <w:lvl w:ilvl="0" w:tplc="21A06B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1F344D28"/>
    <w:multiLevelType w:val="hybridMultilevel"/>
    <w:tmpl w:val="6630C7D0"/>
    <w:lvl w:ilvl="0" w:tplc="21A06B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56005E1"/>
    <w:multiLevelType w:val="hybridMultilevel"/>
    <w:tmpl w:val="4F8C092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E80C4C"/>
    <w:multiLevelType w:val="hybridMultilevel"/>
    <w:tmpl w:val="C6785B6C"/>
    <w:lvl w:ilvl="0" w:tplc="21A06B72">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6" w15:restartNumberingAfterBreak="0">
    <w:nsid w:val="36F507F5"/>
    <w:multiLevelType w:val="hybridMultilevel"/>
    <w:tmpl w:val="C024D6D2"/>
    <w:lvl w:ilvl="0" w:tplc="21A06B72">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7" w15:restartNumberingAfterBreak="0">
    <w:nsid w:val="3FEB675A"/>
    <w:multiLevelType w:val="hybridMultilevel"/>
    <w:tmpl w:val="48904D14"/>
    <w:lvl w:ilvl="0" w:tplc="21A06B7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15:restartNumberingAfterBreak="0">
    <w:nsid w:val="441C32C5"/>
    <w:multiLevelType w:val="multilevel"/>
    <w:tmpl w:val="43E2A864"/>
    <w:lvl w:ilvl="0">
      <w:start w:val="1"/>
      <w:numFmt w:val="decimal"/>
      <w:lvlText w:val="%1."/>
      <w:lvlJc w:val="left"/>
      <w:pPr>
        <w:ind w:left="720" w:hanging="360"/>
      </w:pPr>
      <w:rPr>
        <w:rFonts w:cs="Times New Roman" w:hint="default"/>
      </w:rPr>
    </w:lvl>
    <w:lvl w:ilvl="1">
      <w:start w:val="1"/>
      <w:numFmt w:val="decimal"/>
      <w:isLgl/>
      <w:lvlText w:val="%1.%2"/>
      <w:lvlJc w:val="left"/>
      <w:pPr>
        <w:ind w:left="852" w:hanging="492"/>
      </w:pPr>
      <w:rPr>
        <w:rFonts w:cs="Times New Roman" w:hint="default"/>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4A1664EB"/>
    <w:multiLevelType w:val="hybridMultilevel"/>
    <w:tmpl w:val="A0127EA0"/>
    <w:lvl w:ilvl="0" w:tplc="21A06B7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15:restartNumberingAfterBreak="0">
    <w:nsid w:val="52997A8A"/>
    <w:multiLevelType w:val="hybridMultilevel"/>
    <w:tmpl w:val="86DC0E94"/>
    <w:lvl w:ilvl="0" w:tplc="21A06B7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15:restartNumberingAfterBreak="0">
    <w:nsid w:val="5B732609"/>
    <w:multiLevelType w:val="hybridMultilevel"/>
    <w:tmpl w:val="DA187DE6"/>
    <w:lvl w:ilvl="0" w:tplc="21A06B7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15:restartNumberingAfterBreak="0">
    <w:nsid w:val="5E3A2C5A"/>
    <w:multiLevelType w:val="hybridMultilevel"/>
    <w:tmpl w:val="719A8990"/>
    <w:lvl w:ilvl="0" w:tplc="21A06B7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15:restartNumberingAfterBreak="0">
    <w:nsid w:val="5FCB477E"/>
    <w:multiLevelType w:val="hybridMultilevel"/>
    <w:tmpl w:val="BC5E00B8"/>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6D02DE"/>
    <w:multiLevelType w:val="hybridMultilevel"/>
    <w:tmpl w:val="6E5EAC56"/>
    <w:lvl w:ilvl="0" w:tplc="21A06B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8E60A24"/>
    <w:multiLevelType w:val="hybridMultilevel"/>
    <w:tmpl w:val="4F6426AA"/>
    <w:lvl w:ilvl="0" w:tplc="21A06B72">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6" w15:restartNumberingAfterBreak="0">
    <w:nsid w:val="7E140A14"/>
    <w:multiLevelType w:val="hybridMultilevel"/>
    <w:tmpl w:val="C6C882B0"/>
    <w:lvl w:ilvl="0" w:tplc="21A06B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8"/>
  </w:num>
  <w:num w:numId="2">
    <w:abstractNumId w:val="4"/>
  </w:num>
  <w:num w:numId="3">
    <w:abstractNumId w:val="6"/>
  </w:num>
  <w:num w:numId="4">
    <w:abstractNumId w:val="5"/>
  </w:num>
  <w:num w:numId="5">
    <w:abstractNumId w:val="14"/>
  </w:num>
  <w:num w:numId="6">
    <w:abstractNumId w:val="10"/>
  </w:num>
  <w:num w:numId="7">
    <w:abstractNumId w:val="9"/>
  </w:num>
  <w:num w:numId="8">
    <w:abstractNumId w:val="12"/>
  </w:num>
  <w:num w:numId="9">
    <w:abstractNumId w:val="7"/>
  </w:num>
  <w:num w:numId="10">
    <w:abstractNumId w:val="0"/>
  </w:num>
  <w:num w:numId="11">
    <w:abstractNumId w:val="15"/>
  </w:num>
  <w:num w:numId="12">
    <w:abstractNumId w:val="11"/>
  </w:num>
  <w:num w:numId="13">
    <w:abstractNumId w:val="2"/>
  </w:num>
  <w:num w:numId="14">
    <w:abstractNumId w:val="1"/>
  </w:num>
  <w:num w:numId="15">
    <w:abstractNumId w:val="16"/>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36"/>
    <w:rsid w:val="001A6636"/>
    <w:rsid w:val="002B6709"/>
    <w:rsid w:val="002C4F40"/>
    <w:rsid w:val="0032310F"/>
    <w:rsid w:val="00383700"/>
    <w:rsid w:val="005C3B83"/>
    <w:rsid w:val="006D516B"/>
    <w:rsid w:val="00B26339"/>
    <w:rsid w:val="00C97D01"/>
    <w:rsid w:val="00D14E0F"/>
    <w:rsid w:val="00D4245B"/>
    <w:rsid w:val="00FA1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F743"/>
  <w15:chartTrackingRefBased/>
  <w15:docId w15:val="{CADEA69F-C7D7-4D0B-9957-4422E3BD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5C3B83"/>
    <w:pPr>
      <w:spacing w:before="100" w:after="100" w:line="240" w:lineRule="auto"/>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C3B83"/>
    <w:pPr>
      <w:spacing w:beforeAutospacing="1" w:afterAutospacing="1"/>
    </w:pPr>
    <w:rPr>
      <w:szCs w:val="24"/>
    </w:rPr>
  </w:style>
  <w:style w:type="paragraph" w:styleId="a4">
    <w:name w:val="List Paragraph"/>
    <w:basedOn w:val="a"/>
    <w:uiPriority w:val="34"/>
    <w:qFormat/>
    <w:rsid w:val="005C3B83"/>
    <w:pPr>
      <w:spacing w:before="0" w:after="200" w:line="276" w:lineRule="auto"/>
      <w:ind w:left="720"/>
      <w:contextualSpacing/>
    </w:pPr>
    <w:rPr>
      <w:rFonts w:ascii="Calibri" w:hAnsi="Calibri"/>
      <w:sz w:val="22"/>
      <w:szCs w:val="22"/>
      <w:lang w:eastAsia="en-US"/>
    </w:rPr>
  </w:style>
  <w:style w:type="paragraph" w:customStyle="1" w:styleId="ConsPlusNormal">
    <w:name w:val="ConsPlusNormal"/>
    <w:rsid w:val="005C3B83"/>
    <w:pPr>
      <w:widowControl w:val="0"/>
      <w:autoSpaceDE w:val="0"/>
      <w:autoSpaceDN w:val="0"/>
      <w:spacing w:after="0" w:line="240" w:lineRule="auto"/>
    </w:pPr>
    <w:rPr>
      <w:rFonts w:ascii="Calibri" w:eastAsia="Times New Roman"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3522</Words>
  <Characters>20082</Characters>
  <Application>Microsoft Office Word</Application>
  <DocSecurity>0</DocSecurity>
  <Lines>167</Lines>
  <Paragraphs>47</Paragraphs>
  <ScaleCrop>false</ScaleCrop>
  <Company/>
  <LinksUpToDate>false</LinksUpToDate>
  <CharactersWithSpaces>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 Меньщиков</dc:creator>
  <cp:keywords/>
  <dc:description/>
  <cp:lastModifiedBy>Федор Меньщиков</cp:lastModifiedBy>
  <cp:revision>3</cp:revision>
  <dcterms:created xsi:type="dcterms:W3CDTF">2019-10-30T08:11:00Z</dcterms:created>
  <dcterms:modified xsi:type="dcterms:W3CDTF">2019-10-30T08:46:00Z</dcterms:modified>
</cp:coreProperties>
</file>