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67B2" w14:textId="77777777" w:rsidR="00E0203D" w:rsidRPr="00C5216A" w:rsidRDefault="007D6A06" w:rsidP="00C62140">
      <w:pPr>
        <w:spacing w:line="360" w:lineRule="auto"/>
        <w:jc w:val="center"/>
        <w:rPr>
          <w:b/>
        </w:rPr>
      </w:pPr>
      <w:r w:rsidRPr="00C5216A">
        <w:rPr>
          <w:b/>
        </w:rPr>
        <w:t>Перечень изменений, вносимых в Базовый стандарт</w:t>
      </w:r>
    </w:p>
    <w:p w14:paraId="0EB7007E" w14:textId="77777777" w:rsidR="00B37389" w:rsidRPr="00C5216A" w:rsidRDefault="007D6A06" w:rsidP="00C62140">
      <w:pPr>
        <w:spacing w:line="360" w:lineRule="auto"/>
        <w:jc w:val="center"/>
        <w:rPr>
          <w:b/>
        </w:rPr>
      </w:pPr>
      <w:r w:rsidRPr="00C5216A">
        <w:rPr>
          <w:b/>
        </w:rPr>
        <w:t xml:space="preserve"> </w:t>
      </w:r>
      <w:r w:rsidR="00B37389" w:rsidRPr="00C5216A">
        <w:rPr>
          <w:b/>
        </w:rPr>
        <w:t>совершения брокером операций на финансовом рынке,</w:t>
      </w:r>
      <w:r w:rsidRPr="00C5216A">
        <w:rPr>
          <w:b/>
        </w:rPr>
        <w:t xml:space="preserve"> </w:t>
      </w:r>
    </w:p>
    <w:p w14:paraId="1D9A99BF" w14:textId="77777777" w:rsidR="002B114F" w:rsidRPr="00C5216A" w:rsidRDefault="007D6A06" w:rsidP="00C62140">
      <w:pPr>
        <w:spacing w:line="360" w:lineRule="auto"/>
        <w:jc w:val="center"/>
        <w:rPr>
          <w:b/>
        </w:rPr>
      </w:pPr>
      <w:r w:rsidRPr="00C5216A">
        <w:rPr>
          <w:b/>
        </w:rPr>
        <w:t>с опис</w:t>
      </w:r>
      <w:r w:rsidR="00C62140" w:rsidRPr="00C5216A">
        <w:rPr>
          <w:b/>
        </w:rPr>
        <w:t>анием причин внесения изменений</w:t>
      </w:r>
    </w:p>
    <w:p w14:paraId="4F090229" w14:textId="77777777" w:rsidR="002B114F" w:rsidRPr="00C5216A" w:rsidRDefault="002B114F" w:rsidP="00127C84">
      <w:pPr>
        <w:spacing w:line="360" w:lineRule="auto"/>
      </w:pPr>
    </w:p>
    <w:p w14:paraId="27A4CD91" w14:textId="77777777" w:rsidR="00B37389" w:rsidRPr="00C5216A" w:rsidRDefault="00B37389"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В целях повышения уровня защиты прав и законных интересов инвесторов представляется необходимым уточнить правила использования брокером в своих интересах ценных бумаг клиентов</w:t>
      </w:r>
      <w:r w:rsidR="002A59CB" w:rsidRPr="00C5216A">
        <w:rPr>
          <w:color w:val="000000"/>
        </w:rPr>
        <w:t>. Для этого предлагается внести в Базовый стандарт совершения брокером операций на финансовом рынке (далее – Базовый стандарт) следующие изменения.</w:t>
      </w:r>
    </w:p>
    <w:p w14:paraId="786EF203" w14:textId="77777777" w:rsidR="002A59CB" w:rsidRPr="00C5216A" w:rsidRDefault="002A59CB"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1. Повышение уровня информирования </w:t>
      </w:r>
      <w:r w:rsidR="0040001B" w:rsidRPr="00C5216A">
        <w:rPr>
          <w:color w:val="000000"/>
        </w:rPr>
        <w:t xml:space="preserve">клиентов </w:t>
      </w:r>
      <w:r w:rsidRPr="00C5216A">
        <w:rPr>
          <w:color w:val="000000"/>
        </w:rPr>
        <w:t>о рисках</w:t>
      </w:r>
    </w:p>
    <w:p w14:paraId="53476216" w14:textId="77777777" w:rsidR="002A59CB" w:rsidRPr="00C5216A" w:rsidRDefault="002A59CB"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Действующая редакция пункта 3.3 Базового стандарта устанавливает обязанность брокера п</w:t>
      </w:r>
      <w:r w:rsidR="00570FD8" w:rsidRPr="00C5216A">
        <w:rPr>
          <w:color w:val="000000"/>
        </w:rPr>
        <w:t>ри заключении договора</w:t>
      </w:r>
      <w:r w:rsidRPr="00C5216A">
        <w:rPr>
          <w:color w:val="000000"/>
        </w:rPr>
        <w:t>, предусматривающего право брокера использовать в своих интересах денежные средства и (или) ценные бумаги клиента, либо при внесении в указанный договор изменений, предусматривающих указанное право,</w:t>
      </w:r>
      <w:r w:rsidR="00B82371" w:rsidRPr="00C5216A">
        <w:rPr>
          <w:color w:val="000000"/>
        </w:rPr>
        <w:t xml:space="preserve"> </w:t>
      </w:r>
      <w:r w:rsidRPr="00C5216A">
        <w:rPr>
          <w:color w:val="000000"/>
        </w:rPr>
        <w:t xml:space="preserve">информировать клиента о </w:t>
      </w:r>
      <w:proofErr w:type="gramStart"/>
      <w:r w:rsidRPr="00C5216A">
        <w:rPr>
          <w:color w:val="000000"/>
        </w:rPr>
        <w:t>возникающих</w:t>
      </w:r>
      <w:proofErr w:type="gramEnd"/>
      <w:r w:rsidRPr="00C5216A">
        <w:rPr>
          <w:color w:val="000000"/>
        </w:rPr>
        <w:t xml:space="preserve"> в связи с этим рисках.</w:t>
      </w:r>
    </w:p>
    <w:p w14:paraId="748ACFB7" w14:textId="77777777" w:rsidR="00BB2B44" w:rsidRPr="00C5216A" w:rsidRDefault="002A59CB"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Предлагается уточнить данное требование, </w:t>
      </w:r>
      <w:r w:rsidR="00F2186F" w:rsidRPr="00C5216A">
        <w:rPr>
          <w:color w:val="000000"/>
        </w:rPr>
        <w:t>конкретизировав</w:t>
      </w:r>
      <w:r w:rsidRPr="00C5216A">
        <w:rPr>
          <w:color w:val="000000"/>
        </w:rPr>
        <w:t>, что в числе проч</w:t>
      </w:r>
      <w:r w:rsidR="00BB2B44" w:rsidRPr="00C5216A">
        <w:rPr>
          <w:color w:val="000000"/>
        </w:rPr>
        <w:t>ей информации о рисках</w:t>
      </w:r>
      <w:r w:rsidRPr="00C5216A">
        <w:rPr>
          <w:color w:val="000000"/>
        </w:rPr>
        <w:t xml:space="preserve"> необходимо предоставлять информацию о </w:t>
      </w:r>
      <w:r w:rsidR="00F2186F" w:rsidRPr="00C5216A">
        <w:rPr>
          <w:color w:val="000000"/>
        </w:rPr>
        <w:t>рисках</w:t>
      </w:r>
      <w:r w:rsidR="00C91139" w:rsidRPr="00C5216A">
        <w:rPr>
          <w:color w:val="000000"/>
        </w:rPr>
        <w:t xml:space="preserve"> </w:t>
      </w:r>
      <w:r w:rsidRPr="00C5216A">
        <w:rPr>
          <w:color w:val="000000"/>
        </w:rPr>
        <w:t>использования денежных средств и (или) ценных бумаг клиента для исполнения обязательств из сделок, совершенных за счет самого брокера или других клиентов брокера</w:t>
      </w:r>
      <w:r w:rsidR="00BB2B44" w:rsidRPr="00C5216A">
        <w:rPr>
          <w:color w:val="000000"/>
        </w:rPr>
        <w:t xml:space="preserve">. </w:t>
      </w:r>
      <w:r w:rsidR="001E5622" w:rsidRPr="00C5216A">
        <w:rPr>
          <w:color w:val="000000"/>
        </w:rPr>
        <w:t>Для этого предлагается изложить пункт 3.3 Базового стандарта в следующей редакции:</w:t>
      </w:r>
    </w:p>
    <w:p w14:paraId="0C4F84A3"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«3.3. При заключении договора с клиентом, предусматривающего право брокера использовать в своих интересах денежные средства и (или) ценные бумаги клиента, либо при внесении в указанный договор изменений, предусматривающих указанное право, брокер обязан информировать клиента о возникающих в связи с этим рисках, в том числе о рисках использования денежных средств и (или) ценных бумаг клиента для исполнения обязательств из сделок, совершенных за счет самого брокера или других клиентов брокера.».</w:t>
      </w:r>
    </w:p>
    <w:p w14:paraId="61A01D15" w14:textId="77777777" w:rsidR="002A59CB" w:rsidRPr="00C5216A" w:rsidRDefault="00BB2B44"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В дальнейшем по итогам контрольной практики саморегулируемых организаций в сфере финансового рынка возможно появление стандартизированных форм уведомления о рисках, связанных с предоставлением брокеру права использования денежных средств и (или) ценных бумаг клиентов.</w:t>
      </w:r>
    </w:p>
    <w:p w14:paraId="56888D7D" w14:textId="77777777" w:rsidR="00BB2B44" w:rsidRPr="00C5216A" w:rsidRDefault="00BB2B44"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2. Уточнение требований к сегрегации активов клиентов брокера</w:t>
      </w:r>
    </w:p>
    <w:p w14:paraId="4FA8CC9A" w14:textId="77777777" w:rsidR="00BB2B44" w:rsidRPr="00C5216A" w:rsidRDefault="00BB2B44"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Действующая редакция пункта 3.4 Базового стандарта предусматривает обязанность брокера в случае, если по условиям договоров с клиентами, не </w:t>
      </w:r>
      <w:r w:rsidRPr="00C5216A">
        <w:rPr>
          <w:color w:val="000000"/>
        </w:rPr>
        <w:lastRenderedPageBreak/>
        <w:t>предоставившими брокеру права использования их денежных средств в интересах брокера, указанные денежные средства зачисляются на клиринговый счет клиринговой организации, на специальный брокерский счет другого брокера или на счет брокера - кредитной организации по договору о брокерском обслуживании, требовать от указанных лиц обособленного учета этих средств от денежных средств клиентов, предоставивших брокеру право их использования в интересах брокера, на соответствующих счетах или регистрах (если применимо), открываемых брокеру указанными лицами.</w:t>
      </w:r>
    </w:p>
    <w:p w14:paraId="19BE01C5" w14:textId="77777777" w:rsidR="001E5622" w:rsidRPr="00C5216A" w:rsidRDefault="00BB2B44"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Предлагается распространить указанное требование и на ценные бумаги клиентов</w:t>
      </w:r>
      <w:r w:rsidR="00C91139" w:rsidRPr="00C5216A">
        <w:rPr>
          <w:color w:val="000000"/>
        </w:rPr>
        <w:t xml:space="preserve">, </w:t>
      </w:r>
      <w:r w:rsidRPr="00C5216A">
        <w:rPr>
          <w:color w:val="000000"/>
        </w:rPr>
        <w:t xml:space="preserve">а также </w:t>
      </w:r>
      <w:r w:rsidR="00C91139" w:rsidRPr="00C5216A">
        <w:rPr>
          <w:color w:val="000000"/>
        </w:rPr>
        <w:t xml:space="preserve">заменить </w:t>
      </w:r>
      <w:r w:rsidRPr="00C5216A">
        <w:rPr>
          <w:color w:val="000000"/>
        </w:rPr>
        <w:t>обязанность брокера требовать сегрегации активов от третьих лиц на обязанность брокера обеспечить такую сегрегацию.</w:t>
      </w:r>
      <w:r w:rsidR="00C91139" w:rsidRPr="00C5216A">
        <w:rPr>
          <w:color w:val="000000"/>
        </w:rPr>
        <w:t xml:space="preserve"> Для этого предлагается пункт 3.4 изложить в следующей редакции: </w:t>
      </w:r>
    </w:p>
    <w:p w14:paraId="2956A388" w14:textId="77777777" w:rsidR="00BB2B44" w:rsidRPr="00C5216A" w:rsidRDefault="00C91139"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«3.4. Брокер должен обеспечить обособленный учет клиринговой организацией, другим брокером, иностранной финансовой организацией денежных средств и ценных бумаг клиентов, не предоставивших брокеру права их использования в интересах брокера, от денежных средств и ценных бумаг клиентов, предоставивших брокеру такое право.»</w:t>
      </w:r>
      <w:r w:rsidR="001E5622" w:rsidRPr="00C5216A">
        <w:rPr>
          <w:color w:val="000000"/>
        </w:rPr>
        <w:t>.</w:t>
      </w:r>
    </w:p>
    <w:p w14:paraId="7BCC5E63" w14:textId="77777777" w:rsidR="00C91139"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В целях недопущения возникновения возможности исполнения обязательств одних клиентов за счет других клиентов в случае, когда клиенты не предоставили брокеру право использования своих денежных средств и ценных бумаг </w:t>
      </w:r>
      <w:r w:rsidR="0040001B" w:rsidRPr="00C5216A">
        <w:rPr>
          <w:color w:val="000000"/>
        </w:rPr>
        <w:t xml:space="preserve">в </w:t>
      </w:r>
      <w:r w:rsidRPr="00C5216A">
        <w:rPr>
          <w:color w:val="000000"/>
        </w:rPr>
        <w:t>интересах брокера, т</w:t>
      </w:r>
      <w:r w:rsidR="00BB2B44" w:rsidRPr="00C5216A">
        <w:rPr>
          <w:color w:val="000000"/>
        </w:rPr>
        <w:t xml:space="preserve">акже </w:t>
      </w:r>
      <w:r w:rsidR="00C91139" w:rsidRPr="00C5216A">
        <w:rPr>
          <w:color w:val="000000"/>
        </w:rPr>
        <w:t>предлагается запретить</w:t>
      </w:r>
      <w:r w:rsidRPr="00C5216A">
        <w:rPr>
          <w:color w:val="000000"/>
        </w:rPr>
        <w:t xml:space="preserve"> брокеру </w:t>
      </w:r>
      <w:r w:rsidR="00C91139" w:rsidRPr="00C5216A">
        <w:rPr>
          <w:color w:val="000000"/>
        </w:rPr>
        <w:t xml:space="preserve">исполнение поручений </w:t>
      </w:r>
      <w:r w:rsidRPr="00C5216A">
        <w:rPr>
          <w:color w:val="000000"/>
        </w:rPr>
        <w:t xml:space="preserve">таких </w:t>
      </w:r>
      <w:r w:rsidR="00C91139" w:rsidRPr="00C5216A">
        <w:rPr>
          <w:color w:val="000000"/>
        </w:rPr>
        <w:t>клиентов</w:t>
      </w:r>
      <w:r w:rsidRPr="00C5216A">
        <w:rPr>
          <w:color w:val="000000"/>
        </w:rPr>
        <w:t xml:space="preserve"> </w:t>
      </w:r>
      <w:r w:rsidR="00C91139" w:rsidRPr="00C5216A">
        <w:rPr>
          <w:color w:val="000000"/>
        </w:rPr>
        <w:t xml:space="preserve">на совершение маржинальных и необеспеченных сделок и на заключение договоров </w:t>
      </w:r>
      <w:proofErr w:type="spellStart"/>
      <w:r w:rsidR="00C91139" w:rsidRPr="00C5216A">
        <w:rPr>
          <w:color w:val="000000"/>
        </w:rPr>
        <w:t>репо</w:t>
      </w:r>
      <w:proofErr w:type="spellEnd"/>
      <w:r w:rsidR="00C91139" w:rsidRPr="00C5216A">
        <w:rPr>
          <w:color w:val="000000"/>
        </w:rPr>
        <w:t>.</w:t>
      </w:r>
      <w:r w:rsidRPr="00C5216A">
        <w:rPr>
          <w:color w:val="000000"/>
        </w:rPr>
        <w:t xml:space="preserve"> Для этого предлагается дополнить Базовый стандарт новым пунктом 3.4</w:t>
      </w:r>
      <w:r w:rsidRPr="00C5216A">
        <w:rPr>
          <w:color w:val="000000"/>
          <w:vertAlign w:val="superscript"/>
        </w:rPr>
        <w:t>1</w:t>
      </w:r>
      <w:r w:rsidRPr="00C5216A">
        <w:rPr>
          <w:color w:val="000000"/>
        </w:rPr>
        <w:t xml:space="preserve"> следующего содержания:</w:t>
      </w:r>
    </w:p>
    <w:p w14:paraId="6A4DEED4"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«3.4</w:t>
      </w:r>
      <w:r w:rsidRPr="00C5216A">
        <w:rPr>
          <w:color w:val="000000"/>
          <w:vertAlign w:val="superscript"/>
        </w:rPr>
        <w:t>1</w:t>
      </w:r>
      <w:r w:rsidRPr="00C5216A">
        <w:rPr>
          <w:color w:val="000000"/>
        </w:rPr>
        <w:t xml:space="preserve"> Не допускается исполнение брокером следующих поручений клиентов, не предоставивших брокеру, являющемуся </w:t>
      </w:r>
      <w:proofErr w:type="spellStart"/>
      <w:r w:rsidRPr="00C5216A">
        <w:rPr>
          <w:color w:val="000000"/>
        </w:rPr>
        <w:t>некредитной</w:t>
      </w:r>
      <w:proofErr w:type="spellEnd"/>
      <w:r w:rsidRPr="00C5216A">
        <w:rPr>
          <w:color w:val="000000"/>
        </w:rPr>
        <w:t xml:space="preserve"> организацией, право использования в своих интересах денежных средств и ценных бумаг, и клиентов, не предоставивших брокеру, являющемуся кредитной организацией, право использования в своих интересах ценных бумаг:  </w:t>
      </w:r>
    </w:p>
    <w:p w14:paraId="4AD02663"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1) на совершение сделок, по которым брокер принимает на себя обязанность по передаче имущества клиента, если на момент принятия такой обязанности имущество клиента,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 </w:t>
      </w:r>
    </w:p>
    <w:p w14:paraId="2E5D88F8"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2) на заключение договоров </w:t>
      </w:r>
      <w:proofErr w:type="spellStart"/>
      <w:r w:rsidRPr="00C5216A">
        <w:rPr>
          <w:color w:val="000000"/>
        </w:rPr>
        <w:t>репо</w:t>
      </w:r>
      <w:proofErr w:type="spellEnd"/>
      <w:r w:rsidRPr="00C5216A">
        <w:rPr>
          <w:color w:val="000000"/>
        </w:rPr>
        <w:t>.».</w:t>
      </w:r>
    </w:p>
    <w:p w14:paraId="555C663D"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3. Технические изменения</w:t>
      </w:r>
    </w:p>
    <w:p w14:paraId="54CB0B53"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lastRenderedPageBreak/>
        <w:t>В связи с изменением редакции пункта 3.4 Базового стандарта предлагается скорректировать пункт 3.6, содержащий отсылку на перечень счетов и регистров, предусмотренный предыдущей редакцией пункта 3.4, путем переноса перечня счетов непосредственно в пункт 3.6 Базового стандарта</w:t>
      </w:r>
      <w:r w:rsidR="0040001B" w:rsidRPr="00C5216A">
        <w:rPr>
          <w:color w:val="000000"/>
        </w:rPr>
        <w:t>,</w:t>
      </w:r>
      <w:r w:rsidRPr="00C5216A">
        <w:rPr>
          <w:color w:val="000000"/>
        </w:rPr>
        <w:t xml:space="preserve"> и изложить </w:t>
      </w:r>
      <w:r w:rsidR="0040001B" w:rsidRPr="00C5216A">
        <w:rPr>
          <w:color w:val="000000"/>
        </w:rPr>
        <w:t>пункт 3.6 Базового стандарта</w:t>
      </w:r>
      <w:r w:rsidRPr="00C5216A">
        <w:rPr>
          <w:color w:val="000000"/>
        </w:rPr>
        <w:t xml:space="preserve"> в следующей редакции:</w:t>
      </w:r>
    </w:p>
    <w:p w14:paraId="0C7E4ED7"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«3.6. Объединение денежных средств клиентов на счете клиринговой организации, специальном брокерском счете другого брокера, счете другого брокера-кредитной организации, а также использование их в качестве клирингового обеспечения не является использованием денежных средств в интересах брокера, если денежных средств каждого клиента, объединенных таким образом с денежными средствами других клиентов, достаточно для исполнения обязательств из сделок, совершенных за счет такого клиента, с учетом денежных средств, которые должны поступить клиенту, либо должны быть уплачены клиентом по ранее совершенным, но еще не исполненным сделкам.»</w:t>
      </w:r>
    </w:p>
    <w:p w14:paraId="64A33FDB" w14:textId="77777777" w:rsidR="001E5622" w:rsidRPr="00C5216A" w:rsidRDefault="001E5622"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Также предлагается исправить опечатку в слове «использование» в пункте 3.7 Базового стандарта.</w:t>
      </w:r>
    </w:p>
    <w:p w14:paraId="65D5A5C6" w14:textId="77777777" w:rsidR="001E5622" w:rsidRPr="00C5216A" w:rsidRDefault="005D4C76"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4. Сроки вступления в силу изменений</w:t>
      </w:r>
    </w:p>
    <w:p w14:paraId="50458860" w14:textId="77777777" w:rsidR="001E5622" w:rsidRPr="00C5216A" w:rsidRDefault="005D4C76" w:rsidP="007A5583">
      <w:pPr>
        <w:pBdr>
          <w:top w:val="nil"/>
          <w:left w:val="nil"/>
          <w:bottom w:val="nil"/>
          <w:right w:val="nil"/>
          <w:between w:val="nil"/>
        </w:pBdr>
        <w:shd w:val="clear" w:color="auto" w:fill="FFFFFF"/>
        <w:spacing w:line="360" w:lineRule="auto"/>
        <w:ind w:firstLine="708"/>
        <w:jc w:val="both"/>
        <w:rPr>
          <w:color w:val="000000"/>
        </w:rPr>
      </w:pPr>
      <w:r w:rsidRPr="00C5216A">
        <w:rPr>
          <w:color w:val="000000"/>
        </w:rPr>
        <w:t xml:space="preserve">Предлагается установить срок вступления в силу </w:t>
      </w:r>
      <w:r w:rsidR="00570FD8" w:rsidRPr="00C5216A">
        <w:rPr>
          <w:color w:val="000000"/>
        </w:rPr>
        <w:t>новой редакции Базового стандарта с учетом вышеуказанных изменений</w:t>
      </w:r>
      <w:r w:rsidRPr="00C5216A">
        <w:rPr>
          <w:color w:val="000000"/>
        </w:rPr>
        <w:t xml:space="preserve"> с 1 октября 2022 года.</w:t>
      </w:r>
    </w:p>
    <w:sectPr w:rsidR="001E5622" w:rsidRPr="00C5216A" w:rsidSect="00C5216A">
      <w:headerReference w:type="default" r:id="rId6"/>
      <w:footerReference w:type="default" r:id="rId7"/>
      <w:pgSz w:w="11906" w:h="16838"/>
      <w:pgMar w:top="1134" w:right="850" w:bottom="1134"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0065" w14:textId="77777777" w:rsidR="00370214" w:rsidRDefault="00370214" w:rsidP="00E0203D">
      <w:r>
        <w:separator/>
      </w:r>
    </w:p>
  </w:endnote>
  <w:endnote w:type="continuationSeparator" w:id="0">
    <w:p w14:paraId="362D737F" w14:textId="77777777" w:rsidR="00370214" w:rsidRDefault="00370214" w:rsidP="00E0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464050"/>
      <w:docPartObj>
        <w:docPartGallery w:val="Page Numbers (Bottom of Page)"/>
        <w:docPartUnique/>
      </w:docPartObj>
    </w:sdtPr>
    <w:sdtEndPr/>
    <w:sdtContent>
      <w:p w14:paraId="25932595" w14:textId="77777777" w:rsidR="00732EFF" w:rsidRDefault="007A5583">
        <w:pPr>
          <w:pStyle w:val="a7"/>
          <w:jc w:val="right"/>
        </w:pPr>
        <w:r>
          <w:fldChar w:fldCharType="begin"/>
        </w:r>
        <w:r>
          <w:instrText xml:space="preserve"> PAGE   \* MERGEFORMAT </w:instrText>
        </w:r>
        <w:r>
          <w:fldChar w:fldCharType="separate"/>
        </w:r>
        <w:r w:rsidR="00C5216A">
          <w:rPr>
            <w:noProof/>
          </w:rPr>
          <w:t>3</w:t>
        </w:r>
        <w:r>
          <w:rPr>
            <w:noProof/>
          </w:rPr>
          <w:fldChar w:fldCharType="end"/>
        </w:r>
      </w:p>
    </w:sdtContent>
  </w:sdt>
  <w:p w14:paraId="19157FA7" w14:textId="77777777" w:rsidR="00732EFF" w:rsidRDefault="00732E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B6D9" w14:textId="77777777" w:rsidR="00370214" w:rsidRDefault="00370214" w:rsidP="00E0203D">
      <w:r>
        <w:separator/>
      </w:r>
    </w:p>
  </w:footnote>
  <w:footnote w:type="continuationSeparator" w:id="0">
    <w:p w14:paraId="53BF1519" w14:textId="77777777" w:rsidR="00370214" w:rsidRDefault="00370214" w:rsidP="00E0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FE97" w14:textId="77777777" w:rsidR="001E5622" w:rsidRDefault="001E5622">
    <w:pPr>
      <w:pStyle w:val="a5"/>
      <w:jc w:val="center"/>
    </w:pPr>
  </w:p>
  <w:p w14:paraId="0CF8B516" w14:textId="77777777" w:rsidR="001E5622" w:rsidRDefault="001E56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4F"/>
    <w:rsid w:val="00010E4C"/>
    <w:rsid w:val="00117796"/>
    <w:rsid w:val="00127C84"/>
    <w:rsid w:val="00191C9D"/>
    <w:rsid w:val="001E5622"/>
    <w:rsid w:val="001F0926"/>
    <w:rsid w:val="001F5836"/>
    <w:rsid w:val="002032F4"/>
    <w:rsid w:val="002A59CB"/>
    <w:rsid w:val="002B114F"/>
    <w:rsid w:val="002B166B"/>
    <w:rsid w:val="00370214"/>
    <w:rsid w:val="0040001B"/>
    <w:rsid w:val="004A281B"/>
    <w:rsid w:val="00570E6A"/>
    <w:rsid w:val="00570FD8"/>
    <w:rsid w:val="005D4C76"/>
    <w:rsid w:val="00732EFF"/>
    <w:rsid w:val="007A5583"/>
    <w:rsid w:val="007C71EF"/>
    <w:rsid w:val="007D6A06"/>
    <w:rsid w:val="009A4C68"/>
    <w:rsid w:val="00A169CA"/>
    <w:rsid w:val="00A207BE"/>
    <w:rsid w:val="00B37389"/>
    <w:rsid w:val="00B82371"/>
    <w:rsid w:val="00BB2B44"/>
    <w:rsid w:val="00C5216A"/>
    <w:rsid w:val="00C62140"/>
    <w:rsid w:val="00C91139"/>
    <w:rsid w:val="00E0203D"/>
    <w:rsid w:val="00E534DC"/>
    <w:rsid w:val="00E75EEC"/>
    <w:rsid w:val="00F2186F"/>
    <w:rsid w:val="00F279E4"/>
    <w:rsid w:val="00F430E0"/>
    <w:rsid w:val="00F9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36EE"/>
  <w15:docId w15:val="{C9CB4902-4D32-4317-9384-F069D86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1C9D"/>
  </w:style>
  <w:style w:type="paragraph" w:styleId="1">
    <w:name w:val="heading 1"/>
    <w:basedOn w:val="a"/>
    <w:next w:val="a"/>
    <w:rsid w:val="00191C9D"/>
    <w:pPr>
      <w:keepNext/>
      <w:keepLines/>
      <w:spacing w:before="480" w:after="120"/>
      <w:outlineLvl w:val="0"/>
    </w:pPr>
    <w:rPr>
      <w:b/>
      <w:sz w:val="48"/>
      <w:szCs w:val="48"/>
    </w:rPr>
  </w:style>
  <w:style w:type="paragraph" w:styleId="2">
    <w:name w:val="heading 2"/>
    <w:basedOn w:val="a"/>
    <w:next w:val="a"/>
    <w:rsid w:val="00191C9D"/>
    <w:pPr>
      <w:keepNext/>
      <w:keepLines/>
      <w:spacing w:before="360" w:after="80"/>
      <w:outlineLvl w:val="1"/>
    </w:pPr>
    <w:rPr>
      <w:b/>
      <w:sz w:val="36"/>
      <w:szCs w:val="36"/>
    </w:rPr>
  </w:style>
  <w:style w:type="paragraph" w:styleId="3">
    <w:name w:val="heading 3"/>
    <w:basedOn w:val="a"/>
    <w:next w:val="a"/>
    <w:rsid w:val="00191C9D"/>
    <w:pPr>
      <w:keepNext/>
      <w:keepLines/>
      <w:spacing w:before="280" w:after="80"/>
      <w:outlineLvl w:val="2"/>
    </w:pPr>
    <w:rPr>
      <w:b/>
      <w:sz w:val="28"/>
      <w:szCs w:val="28"/>
    </w:rPr>
  </w:style>
  <w:style w:type="paragraph" w:styleId="4">
    <w:name w:val="heading 4"/>
    <w:basedOn w:val="a"/>
    <w:next w:val="a"/>
    <w:rsid w:val="00191C9D"/>
    <w:pPr>
      <w:keepNext/>
      <w:keepLines/>
      <w:spacing w:before="240" w:after="40"/>
      <w:outlineLvl w:val="3"/>
    </w:pPr>
    <w:rPr>
      <w:b/>
    </w:rPr>
  </w:style>
  <w:style w:type="paragraph" w:styleId="5">
    <w:name w:val="heading 5"/>
    <w:basedOn w:val="a"/>
    <w:next w:val="a"/>
    <w:rsid w:val="00191C9D"/>
    <w:pPr>
      <w:keepNext/>
      <w:keepLines/>
      <w:spacing w:before="220" w:after="40"/>
      <w:outlineLvl w:val="4"/>
    </w:pPr>
    <w:rPr>
      <w:b/>
      <w:sz w:val="22"/>
      <w:szCs w:val="22"/>
    </w:rPr>
  </w:style>
  <w:style w:type="paragraph" w:styleId="6">
    <w:name w:val="heading 6"/>
    <w:basedOn w:val="a"/>
    <w:next w:val="a"/>
    <w:rsid w:val="00191C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91C9D"/>
    <w:tblPr>
      <w:tblCellMar>
        <w:top w:w="0" w:type="dxa"/>
        <w:left w:w="0" w:type="dxa"/>
        <w:bottom w:w="0" w:type="dxa"/>
        <w:right w:w="0" w:type="dxa"/>
      </w:tblCellMar>
    </w:tblPr>
  </w:style>
  <w:style w:type="paragraph" w:styleId="a3">
    <w:name w:val="Title"/>
    <w:basedOn w:val="a"/>
    <w:next w:val="a"/>
    <w:rsid w:val="00191C9D"/>
    <w:pPr>
      <w:keepNext/>
      <w:keepLines/>
      <w:spacing w:before="480" w:after="120"/>
    </w:pPr>
    <w:rPr>
      <w:b/>
      <w:sz w:val="72"/>
      <w:szCs w:val="72"/>
    </w:rPr>
  </w:style>
  <w:style w:type="paragraph" w:styleId="a4">
    <w:name w:val="Subtitle"/>
    <w:basedOn w:val="a"/>
    <w:next w:val="a"/>
    <w:rsid w:val="00191C9D"/>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0203D"/>
    <w:pPr>
      <w:tabs>
        <w:tab w:val="center" w:pos="4677"/>
        <w:tab w:val="right" w:pos="9355"/>
      </w:tabs>
    </w:pPr>
  </w:style>
  <w:style w:type="character" w:customStyle="1" w:styleId="a6">
    <w:name w:val="Верхний колонтитул Знак"/>
    <w:basedOn w:val="a0"/>
    <w:link w:val="a5"/>
    <w:uiPriority w:val="99"/>
    <w:rsid w:val="00E0203D"/>
  </w:style>
  <w:style w:type="paragraph" w:styleId="a7">
    <w:name w:val="footer"/>
    <w:basedOn w:val="a"/>
    <w:link w:val="a8"/>
    <w:uiPriority w:val="99"/>
    <w:unhideWhenUsed/>
    <w:rsid w:val="00E0203D"/>
    <w:pPr>
      <w:tabs>
        <w:tab w:val="center" w:pos="4677"/>
        <w:tab w:val="right" w:pos="9355"/>
      </w:tabs>
    </w:pPr>
  </w:style>
  <w:style w:type="character" w:customStyle="1" w:styleId="a8">
    <w:name w:val="Нижний колонтитул Знак"/>
    <w:basedOn w:val="a0"/>
    <w:link w:val="a7"/>
    <w:uiPriority w:val="99"/>
    <w:rsid w:val="00E0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5073</Characters>
  <Application>Microsoft Office Word</Application>
  <DocSecurity>4</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Житель</dc:creator>
  <cp:lastModifiedBy>Максим Ткач</cp:lastModifiedBy>
  <cp:revision>2</cp:revision>
  <cp:lastPrinted>2022-04-21T15:42:00Z</cp:lastPrinted>
  <dcterms:created xsi:type="dcterms:W3CDTF">2022-04-25T09:29:00Z</dcterms:created>
  <dcterms:modified xsi:type="dcterms:W3CDTF">2022-04-25T09:29:00Z</dcterms:modified>
</cp:coreProperties>
</file>