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CB7B" w14:textId="77777777" w:rsidR="000A1672" w:rsidRPr="00AE7ED7" w:rsidRDefault="00883DC5" w:rsidP="00AE7ED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sz w:val="24"/>
          <w:szCs w:val="24"/>
        </w:rPr>
        <w:t>Предложения (комментарии) СРО НФА по проекту Стратегии развития финансового рынка до 2030 года</w:t>
      </w:r>
      <w:r w:rsidR="000A1672" w:rsidRPr="00AE7ED7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Стратегия)</w:t>
      </w:r>
      <w:r w:rsidRPr="00AE7ED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F5B10F6" w14:textId="2BFF4339" w:rsidR="00883DC5" w:rsidRPr="00AE7ED7" w:rsidRDefault="00883DC5" w:rsidP="00AE7ED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подготовленные на основании мнений (позиций) профессиональных участников рынк</w:t>
      </w:r>
      <w:r w:rsidR="008C1B8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E7ED7">
        <w:rPr>
          <w:rFonts w:ascii="Times New Roman" w:hAnsi="Times New Roman" w:cs="Times New Roman"/>
          <w:b/>
          <w:bCs/>
          <w:sz w:val="24"/>
          <w:szCs w:val="24"/>
        </w:rPr>
        <w:t xml:space="preserve"> ценных бумаг – членов СРО НФА</w:t>
      </w:r>
      <w:r w:rsidR="00010E1C" w:rsidRPr="00AE7ED7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участники)</w:t>
      </w:r>
    </w:p>
    <w:p w14:paraId="43A6A10E" w14:textId="77777777" w:rsidR="00883DC5" w:rsidRPr="00AE7ED7" w:rsidRDefault="00883DC5" w:rsidP="00AE7ED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7D814E" w14:textId="77777777" w:rsidR="00DB0173" w:rsidRPr="00AE7ED7" w:rsidRDefault="00DB0173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1. В Стратегии содержится описание многих аспектов развития финансового рынка (итоги десятилетия и текущее состояние, цели, принципы, задачи, инструменты и направления развития).</w:t>
      </w:r>
    </w:p>
    <w:p w14:paraId="6BD68AC3" w14:textId="7AC2B70C" w:rsidR="00DB0173" w:rsidRPr="00AE7ED7" w:rsidRDefault="00DB0173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CB5EF5" w:rsidRPr="00AE7ED7">
        <w:rPr>
          <w:rFonts w:ascii="Times New Roman" w:hAnsi="Times New Roman" w:cs="Times New Roman"/>
          <w:sz w:val="24"/>
          <w:szCs w:val="24"/>
        </w:rPr>
        <w:t xml:space="preserve">в Стратегии </w:t>
      </w:r>
      <w:r w:rsidRPr="00AE7ED7">
        <w:rPr>
          <w:rFonts w:ascii="Times New Roman" w:hAnsi="Times New Roman" w:cs="Times New Roman"/>
          <w:sz w:val="24"/>
          <w:szCs w:val="24"/>
        </w:rPr>
        <w:t>считаем целесообразным предусмотреть, прежде всего, те ориентиры (результаты), которы</w:t>
      </w:r>
      <w:r w:rsidR="008C1B8A">
        <w:rPr>
          <w:rFonts w:ascii="Times New Roman" w:hAnsi="Times New Roman" w:cs="Times New Roman"/>
          <w:sz w:val="24"/>
          <w:szCs w:val="24"/>
        </w:rPr>
        <w:t>х</w:t>
      </w:r>
      <w:r w:rsidRPr="00AE7ED7">
        <w:rPr>
          <w:rFonts w:ascii="Times New Roman" w:hAnsi="Times New Roman" w:cs="Times New Roman"/>
          <w:sz w:val="24"/>
          <w:szCs w:val="24"/>
        </w:rPr>
        <w:t xml:space="preserve"> планируется достичь до 2030 г., а также обозначить наиболее значимые области финансового рынка (с учетом прогнозируемого развития), сопряженные с чувствительными для рынка вызовами, 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обозначить </w:t>
      </w:r>
      <w:r w:rsidRPr="00AE7ED7">
        <w:rPr>
          <w:rFonts w:ascii="Times New Roman" w:hAnsi="Times New Roman" w:cs="Times New Roman"/>
          <w:sz w:val="24"/>
          <w:szCs w:val="24"/>
        </w:rPr>
        <w:t>эти вызовы</w:t>
      </w:r>
      <w:r w:rsidR="00AE7ED7">
        <w:rPr>
          <w:rFonts w:ascii="Times New Roman" w:hAnsi="Times New Roman" w:cs="Times New Roman"/>
          <w:sz w:val="24"/>
          <w:szCs w:val="24"/>
        </w:rPr>
        <w:t xml:space="preserve"> и</w:t>
      </w:r>
      <w:r w:rsidRPr="00AE7ED7">
        <w:rPr>
          <w:rFonts w:ascii="Times New Roman" w:hAnsi="Times New Roman" w:cs="Times New Roman"/>
          <w:sz w:val="24"/>
          <w:szCs w:val="24"/>
        </w:rPr>
        <w:t xml:space="preserve"> связанные с ними риски.</w:t>
      </w:r>
      <w:r w:rsidR="00F67C26" w:rsidRPr="00AE7ED7">
        <w:rPr>
          <w:rFonts w:ascii="Times New Roman" w:hAnsi="Times New Roman" w:cs="Times New Roman"/>
          <w:sz w:val="24"/>
          <w:szCs w:val="24"/>
        </w:rPr>
        <w:t xml:space="preserve"> </w:t>
      </w:r>
      <w:r w:rsidRPr="00AE7ED7">
        <w:rPr>
          <w:rFonts w:ascii="Times New Roman" w:hAnsi="Times New Roman" w:cs="Times New Roman"/>
          <w:sz w:val="24"/>
          <w:szCs w:val="24"/>
        </w:rPr>
        <w:t xml:space="preserve">В </w:t>
      </w:r>
      <w:r w:rsidR="00F67C26" w:rsidRPr="00AE7ED7">
        <w:rPr>
          <w:rFonts w:ascii="Times New Roman" w:hAnsi="Times New Roman" w:cs="Times New Roman"/>
          <w:sz w:val="24"/>
          <w:szCs w:val="24"/>
        </w:rPr>
        <w:t>эт</w:t>
      </w:r>
      <w:r w:rsidRPr="00AE7ED7">
        <w:rPr>
          <w:rFonts w:ascii="Times New Roman" w:hAnsi="Times New Roman" w:cs="Times New Roman"/>
          <w:sz w:val="24"/>
          <w:szCs w:val="24"/>
        </w:rPr>
        <w:t xml:space="preserve">ой связи полагаем целесообразным </w:t>
      </w:r>
      <w:r w:rsidR="00F67C26" w:rsidRPr="00AE7ED7">
        <w:rPr>
          <w:rFonts w:ascii="Times New Roman" w:hAnsi="Times New Roman" w:cs="Times New Roman"/>
          <w:sz w:val="24"/>
          <w:szCs w:val="24"/>
        </w:rPr>
        <w:t xml:space="preserve">изменить структуру документа, обоснованно определив </w:t>
      </w:r>
      <w:r w:rsidR="00CB5EF5" w:rsidRPr="00AE7ED7">
        <w:rPr>
          <w:rFonts w:ascii="Times New Roman" w:hAnsi="Times New Roman" w:cs="Times New Roman"/>
          <w:sz w:val="24"/>
          <w:szCs w:val="24"/>
        </w:rPr>
        <w:t xml:space="preserve">планируемые изменения, являющиеся </w:t>
      </w:r>
      <w:r w:rsidR="000A1672" w:rsidRPr="00AE7ED7">
        <w:rPr>
          <w:rFonts w:ascii="Times New Roman" w:hAnsi="Times New Roman" w:cs="Times New Roman"/>
          <w:sz w:val="24"/>
          <w:szCs w:val="24"/>
        </w:rPr>
        <w:t>ключевы</w:t>
      </w:r>
      <w:r w:rsidR="00CB5EF5" w:rsidRPr="00AE7ED7">
        <w:rPr>
          <w:rFonts w:ascii="Times New Roman" w:hAnsi="Times New Roman" w:cs="Times New Roman"/>
          <w:sz w:val="24"/>
          <w:szCs w:val="24"/>
        </w:rPr>
        <w:t>ми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 </w:t>
      </w:r>
      <w:r w:rsidR="00F67C26" w:rsidRPr="00AE7ED7">
        <w:rPr>
          <w:rFonts w:ascii="Times New Roman" w:hAnsi="Times New Roman" w:cs="Times New Roman"/>
          <w:sz w:val="24"/>
          <w:szCs w:val="24"/>
        </w:rPr>
        <w:t>для развития финансо</w:t>
      </w:r>
      <w:r w:rsidR="000C0AD9" w:rsidRPr="00AE7ED7">
        <w:rPr>
          <w:rFonts w:ascii="Times New Roman" w:hAnsi="Times New Roman" w:cs="Times New Roman"/>
          <w:sz w:val="24"/>
          <w:szCs w:val="24"/>
        </w:rPr>
        <w:t>во</w:t>
      </w:r>
      <w:r w:rsidR="00F67C26" w:rsidRPr="00AE7ED7">
        <w:rPr>
          <w:rFonts w:ascii="Times New Roman" w:hAnsi="Times New Roman" w:cs="Times New Roman"/>
          <w:sz w:val="24"/>
          <w:szCs w:val="24"/>
        </w:rPr>
        <w:t>го рынка.</w:t>
      </w:r>
    </w:p>
    <w:p w14:paraId="20965D98" w14:textId="77777777" w:rsidR="00B00D56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14259" w14:textId="77777777" w:rsidR="00883DC5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2. </w:t>
      </w:r>
      <w:r w:rsidR="000C0AD9" w:rsidRPr="00AE7ED7">
        <w:rPr>
          <w:rFonts w:ascii="Times New Roman" w:hAnsi="Times New Roman" w:cs="Times New Roman"/>
          <w:sz w:val="24"/>
          <w:szCs w:val="24"/>
        </w:rPr>
        <w:t>В</w:t>
      </w:r>
      <w:r w:rsidR="00DB0173" w:rsidRPr="00AE7ED7">
        <w:rPr>
          <w:rFonts w:ascii="Times New Roman" w:hAnsi="Times New Roman" w:cs="Times New Roman"/>
          <w:sz w:val="24"/>
          <w:szCs w:val="24"/>
        </w:rPr>
        <w:t xml:space="preserve"> перечне показателей, по нашему мнению, в целях определения динамики показателей каждый конкретный показатель должен быть указан по состоянию на текущее время (момент утверждения Стратегии) и в прогнозируемом значении.</w:t>
      </w:r>
    </w:p>
    <w:p w14:paraId="36AB17AA" w14:textId="77777777" w:rsidR="00B00D56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Также в отношении указанных в Стратегии целевых показателей успешности реализации Стратегии участниками предложено следующее:</w:t>
      </w:r>
    </w:p>
    <w:p w14:paraId="5CB7AB99" w14:textId="77777777" w:rsidR="00B00D56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- показатели IPO и SPO оценивать не только в отношении к ВВП, но и по такому показателю, как доля IPO и SPO российских компаний, проведенных на российских финансовых площадках;</w:t>
      </w:r>
    </w:p>
    <w:p w14:paraId="0D3EFA6E" w14:textId="77777777" w:rsidR="00B00D56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- дополнить Стратегию показателями роста объемов средств таких классов институциональных инвесторов, как пенсионные фонды и страховые компании;</w:t>
      </w:r>
    </w:p>
    <w:p w14:paraId="441A0C60" w14:textId="77777777" w:rsidR="00B00D56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- показатель удаленной идентификации рассчитывать не только по физическим лицам, но и по юридическим лицам.</w:t>
      </w:r>
    </w:p>
    <w:p w14:paraId="3659A47B" w14:textId="77777777" w:rsidR="00B00D56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Кроме того, предлагаем в целевые показатели для оценки итоговых результатов реализации Стратегии включить показатель «количественный прирост акционерных обществ и обществ с ограниченной ответственностью».</w:t>
      </w:r>
    </w:p>
    <w:p w14:paraId="2807C1DA" w14:textId="77777777" w:rsidR="00883DC5" w:rsidRPr="00AE7ED7" w:rsidRDefault="00883DC5" w:rsidP="00AE7ED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A48064" w14:textId="77777777" w:rsidR="00D303C1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3</w:t>
      </w:r>
      <w:r w:rsidR="00D303C1" w:rsidRPr="00AE7ED7">
        <w:rPr>
          <w:rFonts w:ascii="Times New Roman" w:hAnsi="Times New Roman" w:cs="Times New Roman"/>
          <w:sz w:val="24"/>
          <w:szCs w:val="24"/>
        </w:rPr>
        <w:t xml:space="preserve">. В стратегии в качестве инструментов развития финансового рынка обозначена информационная открытость (стр.6), а также определена необходимость развития рынка открытых IPO (стр. 29). Однако информационная открытость не рассматривается как 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303C1" w:rsidRPr="00AE7ED7">
        <w:rPr>
          <w:rFonts w:ascii="Times New Roman" w:hAnsi="Times New Roman" w:cs="Times New Roman"/>
          <w:sz w:val="24"/>
          <w:szCs w:val="24"/>
        </w:rPr>
        <w:t xml:space="preserve">принцип взаимодействия между участниками рынка, как направление развития в целях повышения качества инвестирования в том числе с участием </w:t>
      </w:r>
      <w:r w:rsidR="00AB4EA4">
        <w:rPr>
          <w:rFonts w:ascii="Times New Roman" w:hAnsi="Times New Roman" w:cs="Times New Roman"/>
          <w:sz w:val="24"/>
          <w:szCs w:val="24"/>
        </w:rPr>
        <w:t>физических лиц -</w:t>
      </w:r>
      <w:r w:rsidR="00DE3D83">
        <w:rPr>
          <w:rFonts w:ascii="Times New Roman" w:hAnsi="Times New Roman" w:cs="Times New Roman"/>
          <w:sz w:val="24"/>
          <w:szCs w:val="24"/>
        </w:rPr>
        <w:t xml:space="preserve"> </w:t>
      </w:r>
      <w:r w:rsidR="00D303C1" w:rsidRPr="00AE7ED7">
        <w:rPr>
          <w:rFonts w:ascii="Times New Roman" w:hAnsi="Times New Roman" w:cs="Times New Roman"/>
          <w:sz w:val="24"/>
          <w:szCs w:val="24"/>
        </w:rPr>
        <w:t>неквалифицированных инвесторов.</w:t>
      </w:r>
    </w:p>
    <w:p w14:paraId="5DDE5F02" w14:textId="77777777" w:rsidR="00883DC5" w:rsidRPr="00AE7ED7" w:rsidRDefault="00D303C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В Стратегии отсутствует в качестве направления работы необходимость совершенствования раскрытия информации на финансовом рынке.</w:t>
      </w:r>
      <w:r w:rsidR="00AE7ED7">
        <w:rPr>
          <w:rFonts w:ascii="Times New Roman" w:hAnsi="Times New Roman" w:cs="Times New Roman"/>
          <w:sz w:val="24"/>
          <w:szCs w:val="24"/>
        </w:rPr>
        <w:t xml:space="preserve"> В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 частности, </w:t>
      </w:r>
      <w:r w:rsidR="00AE7ED7">
        <w:rPr>
          <w:rFonts w:ascii="Times New Roman" w:hAnsi="Times New Roman" w:cs="Times New Roman"/>
          <w:sz w:val="24"/>
          <w:szCs w:val="24"/>
        </w:rPr>
        <w:t>у</w:t>
      </w:r>
      <w:r w:rsidR="00AE7ED7" w:rsidRPr="00AE7ED7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обратили внимание на необходимость </w:t>
      </w:r>
      <w:r w:rsidRPr="00AE7ED7">
        <w:rPr>
          <w:rFonts w:ascii="Times New Roman" w:hAnsi="Times New Roman" w:cs="Times New Roman"/>
          <w:sz w:val="24"/>
          <w:szCs w:val="24"/>
        </w:rPr>
        <w:t>больш</w:t>
      </w:r>
      <w:r w:rsidR="00EA13E1" w:rsidRPr="00AE7ED7">
        <w:rPr>
          <w:rFonts w:ascii="Times New Roman" w:hAnsi="Times New Roman" w:cs="Times New Roman"/>
          <w:sz w:val="24"/>
          <w:szCs w:val="24"/>
        </w:rPr>
        <w:t>е</w:t>
      </w:r>
      <w:r w:rsidR="000A1672" w:rsidRPr="00AE7ED7">
        <w:rPr>
          <w:rFonts w:ascii="Times New Roman" w:hAnsi="Times New Roman" w:cs="Times New Roman"/>
          <w:sz w:val="24"/>
          <w:szCs w:val="24"/>
        </w:rPr>
        <w:t>й</w:t>
      </w:r>
      <w:r w:rsidRPr="00AE7ED7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0A1672" w:rsidRPr="00AE7ED7">
        <w:rPr>
          <w:rFonts w:ascii="Times New Roman" w:hAnsi="Times New Roman" w:cs="Times New Roman"/>
          <w:sz w:val="24"/>
          <w:szCs w:val="24"/>
        </w:rPr>
        <w:t>и</w:t>
      </w:r>
      <w:r w:rsidRPr="00AE7ED7">
        <w:rPr>
          <w:rFonts w:ascii="Times New Roman" w:hAnsi="Times New Roman" w:cs="Times New Roman"/>
          <w:sz w:val="24"/>
          <w:szCs w:val="24"/>
        </w:rPr>
        <w:t xml:space="preserve"> открытости со стороны регулятора (регулятор 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получает значительный </w:t>
      </w:r>
      <w:r w:rsidRPr="00AE7ED7">
        <w:rPr>
          <w:rFonts w:ascii="Times New Roman" w:hAnsi="Times New Roman" w:cs="Times New Roman"/>
          <w:sz w:val="24"/>
          <w:szCs w:val="24"/>
        </w:rPr>
        <w:t xml:space="preserve">объем информации </w:t>
      </w:r>
      <w:r w:rsidR="000A1672" w:rsidRPr="00AE7ED7">
        <w:rPr>
          <w:rFonts w:ascii="Times New Roman" w:hAnsi="Times New Roman" w:cs="Times New Roman"/>
          <w:sz w:val="24"/>
          <w:szCs w:val="24"/>
        </w:rPr>
        <w:t>от</w:t>
      </w:r>
      <w:r w:rsidRPr="00AE7ED7">
        <w:rPr>
          <w:rFonts w:ascii="Times New Roman" w:hAnsi="Times New Roman" w:cs="Times New Roman"/>
          <w:sz w:val="24"/>
          <w:szCs w:val="24"/>
        </w:rPr>
        <w:t xml:space="preserve"> участников рынка и эмитентов, но раскрывается для инвесторов лишь небольшая </w:t>
      </w:r>
      <w:r w:rsidR="00C60245" w:rsidRPr="00AE7ED7">
        <w:rPr>
          <w:rFonts w:ascii="Times New Roman" w:hAnsi="Times New Roman" w:cs="Times New Roman"/>
          <w:sz w:val="24"/>
          <w:szCs w:val="24"/>
        </w:rPr>
        <w:t>доля</w:t>
      </w:r>
      <w:r w:rsidR="000A1672" w:rsidRPr="00AE7ED7">
        <w:rPr>
          <w:rFonts w:ascii="Times New Roman" w:hAnsi="Times New Roman" w:cs="Times New Roman"/>
          <w:sz w:val="24"/>
          <w:szCs w:val="24"/>
        </w:rPr>
        <w:t xml:space="preserve"> такой информации</w:t>
      </w:r>
      <w:r w:rsidRPr="00AE7ED7">
        <w:rPr>
          <w:rFonts w:ascii="Times New Roman" w:hAnsi="Times New Roman" w:cs="Times New Roman"/>
          <w:sz w:val="24"/>
          <w:szCs w:val="24"/>
        </w:rPr>
        <w:t>).</w:t>
      </w:r>
    </w:p>
    <w:p w14:paraId="36EFB209" w14:textId="77777777" w:rsidR="00883DC5" w:rsidRPr="00AE7ED7" w:rsidRDefault="00883DC5" w:rsidP="00AE7ED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8DC2BC" w14:textId="77777777" w:rsidR="00B00D56" w:rsidRPr="00AE7ED7" w:rsidRDefault="00B00D56" w:rsidP="00AE7ED7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 Общие положения</w:t>
      </w:r>
    </w:p>
    <w:p w14:paraId="6D747A5D" w14:textId="77777777" w:rsidR="00B00D56" w:rsidRPr="00AE7ED7" w:rsidRDefault="00B00D56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lastRenderedPageBreak/>
        <w:tab/>
        <w:t>4. Одн</w:t>
      </w:r>
      <w:r w:rsidR="000A563E">
        <w:rPr>
          <w:rFonts w:ascii="Times New Roman" w:hAnsi="Times New Roman" w:cs="Times New Roman"/>
          <w:sz w:val="24"/>
          <w:szCs w:val="24"/>
        </w:rPr>
        <w:t>ой</w:t>
      </w:r>
      <w:r w:rsidRPr="00AE7ED7">
        <w:rPr>
          <w:rFonts w:ascii="Times New Roman" w:hAnsi="Times New Roman" w:cs="Times New Roman"/>
          <w:sz w:val="24"/>
          <w:szCs w:val="24"/>
        </w:rPr>
        <w:t xml:space="preserve"> из трех обозначенных в Стратегии целей развития финансового рынка </w:t>
      </w:r>
      <w:r w:rsidR="000A563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AE7ED7">
        <w:rPr>
          <w:rFonts w:ascii="Times New Roman" w:hAnsi="Times New Roman" w:cs="Times New Roman"/>
          <w:sz w:val="24"/>
          <w:szCs w:val="24"/>
        </w:rPr>
        <w:t>содействие экономическому росту за счет предоставления конкурентного доступа субъектам российской экономики к долговому и долевому финансированию, инструментам страхования рисков в том числе в условиях перехода к низкоуглеродной экономике (стр. 3).</w:t>
      </w:r>
    </w:p>
    <w:p w14:paraId="28873A59" w14:textId="77777777" w:rsidR="00883DC5" w:rsidRPr="00AE7ED7" w:rsidRDefault="00B00D56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Полагаем, что данная цель достигается не только за счет предоставления конкурентного доступа, но и за счет повышения емкости и ликвидности рынка, расширения круга инвесторов </w:t>
      </w:r>
      <w:r w:rsidR="00DE3D83">
        <w:rPr>
          <w:rFonts w:ascii="Times New Roman" w:hAnsi="Times New Roman" w:cs="Times New Roman"/>
          <w:sz w:val="24"/>
          <w:szCs w:val="24"/>
        </w:rPr>
        <w:t>(</w:t>
      </w:r>
      <w:r w:rsidRPr="00AE7ED7">
        <w:rPr>
          <w:rFonts w:ascii="Times New Roman" w:hAnsi="Times New Roman" w:cs="Times New Roman"/>
          <w:sz w:val="24"/>
          <w:szCs w:val="24"/>
        </w:rPr>
        <w:t>в том числе повышения доли инвестиций в совокупных сбережениях физических лиц</w:t>
      </w:r>
      <w:r w:rsidR="00DE3D83">
        <w:rPr>
          <w:rFonts w:ascii="Times New Roman" w:hAnsi="Times New Roman" w:cs="Times New Roman"/>
          <w:sz w:val="24"/>
          <w:szCs w:val="24"/>
        </w:rPr>
        <w:t>)</w:t>
      </w:r>
      <w:r w:rsidRPr="00AE7ED7">
        <w:rPr>
          <w:rFonts w:ascii="Times New Roman" w:hAnsi="Times New Roman" w:cs="Times New Roman"/>
          <w:sz w:val="24"/>
          <w:szCs w:val="24"/>
        </w:rPr>
        <w:t>, привлечения иностранных инвесторов, развития класса институциональных инвесторов (пенсионные сбережения, страховые резервы, коллективные инвестиции).</w:t>
      </w:r>
    </w:p>
    <w:p w14:paraId="66D625D9" w14:textId="77777777" w:rsidR="005B306C" w:rsidRPr="00AE7ED7" w:rsidRDefault="00CB5EF5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Кроме того, в</w:t>
      </w:r>
      <w:r w:rsidR="005B306C" w:rsidRPr="00AE7ED7">
        <w:rPr>
          <w:rFonts w:ascii="Times New Roman" w:hAnsi="Times New Roman" w:cs="Times New Roman"/>
          <w:sz w:val="24"/>
          <w:szCs w:val="24"/>
        </w:rPr>
        <w:t xml:space="preserve"> ходе обсуждения Стратегии участники </w:t>
      </w:r>
      <w:r w:rsidR="000A563E">
        <w:rPr>
          <w:rFonts w:ascii="Times New Roman" w:hAnsi="Times New Roman" w:cs="Times New Roman"/>
          <w:sz w:val="24"/>
          <w:szCs w:val="24"/>
        </w:rPr>
        <w:t xml:space="preserve">обратили </w:t>
      </w:r>
      <w:r w:rsidR="00DE3D83"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0A563E">
        <w:rPr>
          <w:rFonts w:ascii="Times New Roman" w:hAnsi="Times New Roman" w:cs="Times New Roman"/>
          <w:sz w:val="24"/>
          <w:szCs w:val="24"/>
        </w:rPr>
        <w:t>внимание на</w:t>
      </w:r>
      <w:r w:rsidR="005B306C" w:rsidRPr="00AE7ED7">
        <w:rPr>
          <w:rFonts w:ascii="Times New Roman" w:hAnsi="Times New Roman" w:cs="Times New Roman"/>
          <w:sz w:val="24"/>
          <w:szCs w:val="24"/>
        </w:rPr>
        <w:t xml:space="preserve"> тесную взаимосвязь финансовой системы и экономики в целом.</w:t>
      </w:r>
      <w:r w:rsidRPr="00AE7ED7">
        <w:rPr>
          <w:rFonts w:ascii="Times New Roman" w:hAnsi="Times New Roman" w:cs="Times New Roman"/>
          <w:sz w:val="24"/>
          <w:szCs w:val="24"/>
        </w:rPr>
        <w:t xml:space="preserve"> </w:t>
      </w:r>
      <w:r w:rsidR="005B306C" w:rsidRPr="00AE7ED7">
        <w:rPr>
          <w:rFonts w:ascii="Times New Roman" w:hAnsi="Times New Roman" w:cs="Times New Roman"/>
          <w:sz w:val="24"/>
          <w:szCs w:val="24"/>
        </w:rPr>
        <w:t>Если финансовая система работает на рост и обновление реального сектора экономики, то устойчивость и мощь самой финансовой системы, являющейся «кровеносной системой экономики» и наполняющейся финансовыми ресурсами, производимыми в реальном секторе, повышается.</w:t>
      </w:r>
    </w:p>
    <w:p w14:paraId="4076D48B" w14:textId="77777777" w:rsidR="00B00D56" w:rsidRPr="00AE7ED7" w:rsidRDefault="00B00D56" w:rsidP="00AE7ED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C4A2C0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3.1. Защита прав потребителей финансовых услуг, финансовое просвещение, финансовая доступность</w:t>
      </w:r>
    </w:p>
    <w:p w14:paraId="77A479D0" w14:textId="77777777" w:rsidR="001B4781" w:rsidRPr="00AE7ED7" w:rsidRDefault="001B4781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E20723" w14:textId="77777777" w:rsidR="00010E1C" w:rsidRPr="00AE7ED7" w:rsidRDefault="00EA13E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5. 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В </w:t>
      </w:r>
      <w:r w:rsidR="00CB5EF5" w:rsidRPr="00AE7ED7">
        <w:rPr>
          <w:rFonts w:ascii="Times New Roman" w:hAnsi="Times New Roman" w:cs="Times New Roman"/>
          <w:sz w:val="24"/>
          <w:szCs w:val="24"/>
        </w:rPr>
        <w:t>Стратегии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 подчеркивается необходимость трансформации культуры и ценностей финансовых организаций, их ориентации на выстраивание долгосрочных стратегий повышения удовлетворенности и лояльности клиентов</w:t>
      </w:r>
      <w:r w:rsidRPr="00AE7ED7">
        <w:rPr>
          <w:rFonts w:ascii="Times New Roman" w:hAnsi="Times New Roman" w:cs="Times New Roman"/>
          <w:sz w:val="24"/>
          <w:szCs w:val="24"/>
        </w:rPr>
        <w:t xml:space="preserve"> (стр.13)</w:t>
      </w:r>
      <w:r w:rsidR="00010E1C" w:rsidRPr="00AE7ED7">
        <w:rPr>
          <w:rFonts w:ascii="Times New Roman" w:hAnsi="Times New Roman" w:cs="Times New Roman"/>
          <w:sz w:val="24"/>
          <w:szCs w:val="24"/>
        </w:rPr>
        <w:t>.</w:t>
      </w:r>
    </w:p>
    <w:p w14:paraId="2938BD2E" w14:textId="77777777" w:rsidR="00010E1C" w:rsidRPr="00AE7ED7" w:rsidRDefault="00DE3D83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у</w:t>
      </w:r>
      <w:r w:rsidR="00010E1C" w:rsidRPr="00AE7ED7">
        <w:rPr>
          <w:rFonts w:ascii="Times New Roman" w:hAnsi="Times New Roman" w:cs="Times New Roman"/>
          <w:sz w:val="24"/>
          <w:szCs w:val="24"/>
        </w:rPr>
        <w:t>частники отметили, что данные принципы уже используются в работе основных участников финансового рынка, для которых важным является построение долгосрочных взаимовыгодных отношений с клиентами.</w:t>
      </w:r>
    </w:p>
    <w:p w14:paraId="00BE641C" w14:textId="77777777" w:rsidR="00010E1C" w:rsidRPr="00AE7ED7" w:rsidRDefault="00010E1C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1323D8" w14:textId="77777777" w:rsidR="004B7EB4" w:rsidRPr="00AE7ED7" w:rsidRDefault="00EA13E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6. </w:t>
      </w:r>
      <w:r w:rsidR="004B7EB4" w:rsidRPr="00AE7ED7">
        <w:rPr>
          <w:rFonts w:ascii="Times New Roman" w:hAnsi="Times New Roman" w:cs="Times New Roman"/>
          <w:sz w:val="24"/>
          <w:szCs w:val="24"/>
        </w:rPr>
        <w:t>В Стратегии обозначена необходимость расширения линейки инструментов финансового рынка, ориентированных на удовлетворение потребностей граждан с относительно невысоким уровнем дохода (стр.15). По мнению СРО НФА, проблему целесообразно сформулировать более широко – как «расширение линейки инструментов на финансовом рынке».</w:t>
      </w:r>
    </w:p>
    <w:p w14:paraId="3052EC9D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ab/>
        <w:t xml:space="preserve">Так, например, в настоящее время актуально развитие института хеджирования, рынка РЕПО </w:t>
      </w:r>
      <w:r w:rsidR="008814CA" w:rsidRPr="00AE7ED7">
        <w:rPr>
          <w:rFonts w:ascii="Times New Roman" w:hAnsi="Times New Roman" w:cs="Times New Roman"/>
          <w:sz w:val="24"/>
          <w:szCs w:val="24"/>
        </w:rPr>
        <w:t xml:space="preserve">(в том числе товарного РЕПО) </w:t>
      </w:r>
      <w:r w:rsidRPr="00AE7ED7">
        <w:rPr>
          <w:rFonts w:ascii="Times New Roman" w:hAnsi="Times New Roman" w:cs="Times New Roman"/>
          <w:sz w:val="24"/>
          <w:szCs w:val="24"/>
        </w:rPr>
        <w:t>и золота.</w:t>
      </w:r>
    </w:p>
    <w:p w14:paraId="784C0B86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ab/>
        <w:t>Не последнюю роль в развитии рынка финансовых инструментов играет совершенствование налогового законодательства</w:t>
      </w:r>
      <w:r w:rsidR="001B4781" w:rsidRPr="00AE7ED7">
        <w:rPr>
          <w:rFonts w:ascii="Times New Roman" w:hAnsi="Times New Roman" w:cs="Times New Roman"/>
          <w:sz w:val="24"/>
          <w:szCs w:val="24"/>
        </w:rPr>
        <w:t xml:space="preserve"> (см. пункт 11 настоящего документа)</w:t>
      </w:r>
      <w:r w:rsidRPr="00AE7ED7">
        <w:rPr>
          <w:rFonts w:ascii="Times New Roman" w:hAnsi="Times New Roman" w:cs="Times New Roman"/>
          <w:sz w:val="24"/>
          <w:szCs w:val="24"/>
        </w:rPr>
        <w:t>.</w:t>
      </w:r>
    </w:p>
    <w:p w14:paraId="18631CFD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BD72D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3.2. Содействие цифровизации и развитию платежных сервисов</w:t>
      </w:r>
    </w:p>
    <w:p w14:paraId="375A94D7" w14:textId="77777777" w:rsidR="001B4781" w:rsidRPr="00AE7ED7" w:rsidRDefault="001B4781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0CDE7D" w14:textId="77777777" w:rsidR="004B7EB4" w:rsidRPr="00AE7ED7" w:rsidRDefault="00EA13E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7. </w:t>
      </w:r>
      <w:r w:rsidR="000A563E">
        <w:rPr>
          <w:rFonts w:ascii="Times New Roman" w:hAnsi="Times New Roman" w:cs="Times New Roman"/>
          <w:sz w:val="24"/>
          <w:szCs w:val="24"/>
        </w:rPr>
        <w:t xml:space="preserve">Как уже отмечалось, </w:t>
      </w:r>
      <w:r w:rsidR="00E71069">
        <w:rPr>
          <w:rFonts w:ascii="Times New Roman" w:hAnsi="Times New Roman" w:cs="Times New Roman"/>
          <w:sz w:val="24"/>
          <w:szCs w:val="24"/>
        </w:rPr>
        <w:t>о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дной из целей развития финансового рынка в Стратегии заявлено содействие экономическому росту за счет предоставления конкурентного доступа субъектам российской экономики к долговому и долевому финансированию. </w:t>
      </w:r>
      <w:r w:rsidR="00DE3D83">
        <w:rPr>
          <w:rFonts w:ascii="Times New Roman" w:hAnsi="Times New Roman" w:cs="Times New Roman"/>
          <w:sz w:val="24"/>
          <w:szCs w:val="24"/>
        </w:rPr>
        <w:t>В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Стратегии указывается на потенциал </w:t>
      </w:r>
      <w:r w:rsidR="00E71069">
        <w:rPr>
          <w:rFonts w:ascii="Times New Roman" w:hAnsi="Times New Roman" w:cs="Times New Roman"/>
          <w:sz w:val="24"/>
          <w:szCs w:val="24"/>
        </w:rPr>
        <w:t>утилитарных цифровых прав (</w:t>
      </w:r>
      <w:r w:rsidR="004B7EB4" w:rsidRPr="00AE7ED7">
        <w:rPr>
          <w:rFonts w:ascii="Times New Roman" w:hAnsi="Times New Roman" w:cs="Times New Roman"/>
          <w:sz w:val="24"/>
          <w:szCs w:val="24"/>
        </w:rPr>
        <w:t>УЦП</w:t>
      </w:r>
      <w:r w:rsidR="00E71069">
        <w:rPr>
          <w:rFonts w:ascii="Times New Roman" w:hAnsi="Times New Roman" w:cs="Times New Roman"/>
          <w:sz w:val="24"/>
          <w:szCs w:val="24"/>
        </w:rPr>
        <w:t>)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как институт</w:t>
      </w:r>
      <w:r w:rsidR="00E71069">
        <w:rPr>
          <w:rFonts w:ascii="Times New Roman" w:hAnsi="Times New Roman" w:cs="Times New Roman"/>
          <w:sz w:val="24"/>
          <w:szCs w:val="24"/>
        </w:rPr>
        <w:t>а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привлечения средств граждан в финансирование стартапов</w:t>
      </w:r>
      <w:r w:rsidRPr="00AE7ED7">
        <w:rPr>
          <w:rFonts w:ascii="Times New Roman" w:hAnsi="Times New Roman" w:cs="Times New Roman"/>
          <w:sz w:val="24"/>
          <w:szCs w:val="24"/>
        </w:rPr>
        <w:t>,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</w:t>
      </w:r>
      <w:r w:rsidRPr="00AE7ED7">
        <w:rPr>
          <w:rFonts w:ascii="Times New Roman" w:hAnsi="Times New Roman" w:cs="Times New Roman"/>
          <w:sz w:val="24"/>
          <w:szCs w:val="24"/>
        </w:rPr>
        <w:t>г</w:t>
      </w:r>
      <w:r w:rsidR="004B7EB4" w:rsidRPr="00AE7ED7">
        <w:rPr>
          <w:rFonts w:ascii="Times New Roman" w:hAnsi="Times New Roman" w:cs="Times New Roman"/>
          <w:sz w:val="24"/>
          <w:szCs w:val="24"/>
        </w:rPr>
        <w:t>оворится о том, что ожидается рост числа IPO</w:t>
      </w:r>
      <w:r w:rsidR="009F626B" w:rsidRPr="00AE7ED7">
        <w:rPr>
          <w:rFonts w:ascii="Times New Roman" w:hAnsi="Times New Roman" w:cs="Times New Roman"/>
          <w:sz w:val="24"/>
          <w:szCs w:val="24"/>
        </w:rPr>
        <w:t xml:space="preserve"> (стр.29)</w:t>
      </w:r>
      <w:r w:rsidR="004B7EB4" w:rsidRPr="00AE7ED7">
        <w:rPr>
          <w:rFonts w:ascii="Times New Roman" w:hAnsi="Times New Roman" w:cs="Times New Roman"/>
          <w:sz w:val="24"/>
          <w:szCs w:val="24"/>
        </w:rPr>
        <w:t>.</w:t>
      </w:r>
    </w:p>
    <w:p w14:paraId="6DC027D7" w14:textId="1AF5434B" w:rsidR="004B7EB4" w:rsidRPr="00AE7ED7" w:rsidRDefault="00DE3D83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связи </w:t>
      </w:r>
      <w:r w:rsidR="00E71069" w:rsidRPr="00AE7ED7">
        <w:rPr>
          <w:rFonts w:ascii="Times New Roman" w:hAnsi="Times New Roman" w:cs="Times New Roman"/>
          <w:sz w:val="24"/>
          <w:szCs w:val="24"/>
        </w:rPr>
        <w:t xml:space="preserve">считаем целесообразным </w:t>
      </w:r>
      <w:r w:rsidR="004B7EB4" w:rsidRPr="00AE7ED7">
        <w:rPr>
          <w:rFonts w:ascii="Times New Roman" w:hAnsi="Times New Roman" w:cs="Times New Roman"/>
          <w:sz w:val="24"/>
          <w:szCs w:val="24"/>
        </w:rPr>
        <w:t>в Стратегии обозначить, что современные институты финансового рынка, а именно, инвестиционные платформы, созданные участниками финансового рынка, могут и должны работать на качественное и количественное обновление реального сектора экономики путем дополнительных выпусков акций, создания новых АО и ООО для осуществления видов деятельности, соответствующих замыслам перспективных инвестиционных проектов. Финансовая система должна работать на обновление и рост реального сектора  экономики, на рост количества АО и ООО, на обновление производственных моделей действующих предприятий.</w:t>
      </w:r>
    </w:p>
    <w:p w14:paraId="7FC5596A" w14:textId="1E8E6E84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Кроме того, в Стратеги</w:t>
      </w:r>
      <w:r w:rsidR="00F77EFF">
        <w:rPr>
          <w:rFonts w:ascii="Times New Roman" w:hAnsi="Times New Roman" w:cs="Times New Roman"/>
          <w:sz w:val="24"/>
          <w:szCs w:val="24"/>
        </w:rPr>
        <w:t>и</w:t>
      </w:r>
      <w:r w:rsidRPr="00AE7ED7">
        <w:rPr>
          <w:rFonts w:ascii="Times New Roman" w:hAnsi="Times New Roman" w:cs="Times New Roman"/>
          <w:sz w:val="24"/>
          <w:szCs w:val="24"/>
        </w:rPr>
        <w:t xml:space="preserve"> следует уделить большее внимание развитию экосистем, отметить необходимость повышения конкурентоспособности российских экосистем по отношению к глобальным экосистемам</w:t>
      </w:r>
      <w:r w:rsidR="00E71069">
        <w:rPr>
          <w:rFonts w:ascii="Times New Roman" w:hAnsi="Times New Roman" w:cs="Times New Roman"/>
          <w:sz w:val="24"/>
          <w:szCs w:val="24"/>
        </w:rPr>
        <w:t xml:space="preserve">. Важно </w:t>
      </w:r>
      <w:r w:rsidRPr="00AE7ED7">
        <w:rPr>
          <w:rFonts w:ascii="Times New Roman" w:hAnsi="Times New Roman" w:cs="Times New Roman"/>
          <w:sz w:val="24"/>
          <w:szCs w:val="24"/>
        </w:rPr>
        <w:t>развити</w:t>
      </w:r>
      <w:r w:rsidR="00E71069">
        <w:rPr>
          <w:rFonts w:ascii="Times New Roman" w:hAnsi="Times New Roman" w:cs="Times New Roman"/>
          <w:sz w:val="24"/>
          <w:szCs w:val="24"/>
        </w:rPr>
        <w:t>е</w:t>
      </w:r>
      <w:r w:rsidRPr="00AE7ED7">
        <w:rPr>
          <w:rFonts w:ascii="Times New Roman" w:hAnsi="Times New Roman" w:cs="Times New Roman"/>
          <w:sz w:val="24"/>
          <w:szCs w:val="24"/>
        </w:rPr>
        <w:t xml:space="preserve"> добросовестной конкуренции как в отношении лидирующих экосистемных бизнес-моделей, так и среди менее крупных (в том числе нишевых) платформ, а также применени</w:t>
      </w:r>
      <w:r w:rsidR="00E71069">
        <w:rPr>
          <w:rFonts w:ascii="Times New Roman" w:hAnsi="Times New Roman" w:cs="Times New Roman"/>
          <w:sz w:val="24"/>
          <w:szCs w:val="24"/>
        </w:rPr>
        <w:t>е</w:t>
      </w:r>
      <w:r w:rsidRPr="00AE7ED7">
        <w:rPr>
          <w:rFonts w:ascii="Times New Roman" w:hAnsi="Times New Roman" w:cs="Times New Roman"/>
          <w:sz w:val="24"/>
          <w:szCs w:val="24"/>
        </w:rPr>
        <w:t xml:space="preserve"> мер пропорционального регулирования, недопущени</w:t>
      </w:r>
      <w:r w:rsidR="00E71069">
        <w:rPr>
          <w:rFonts w:ascii="Times New Roman" w:hAnsi="Times New Roman" w:cs="Times New Roman"/>
          <w:sz w:val="24"/>
          <w:szCs w:val="24"/>
        </w:rPr>
        <w:t>е</w:t>
      </w:r>
      <w:r w:rsidRPr="00AE7ED7">
        <w:rPr>
          <w:rFonts w:ascii="Times New Roman" w:hAnsi="Times New Roman" w:cs="Times New Roman"/>
          <w:sz w:val="24"/>
          <w:szCs w:val="24"/>
        </w:rPr>
        <w:t xml:space="preserve"> регуляторного арбитража.</w:t>
      </w:r>
    </w:p>
    <w:p w14:paraId="51043084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Развитие экосистем </w:t>
      </w:r>
      <w:r w:rsidR="00E71069">
        <w:rPr>
          <w:rFonts w:ascii="Times New Roman" w:hAnsi="Times New Roman" w:cs="Times New Roman"/>
          <w:sz w:val="24"/>
          <w:szCs w:val="24"/>
        </w:rPr>
        <w:t>необходимо</w:t>
      </w:r>
      <w:r w:rsidRPr="00AE7ED7">
        <w:rPr>
          <w:rFonts w:ascii="Times New Roman" w:hAnsi="Times New Roman" w:cs="Times New Roman"/>
          <w:sz w:val="24"/>
          <w:szCs w:val="24"/>
        </w:rPr>
        <w:t xml:space="preserve"> для развития государственно-частного партнерства для реализации проектов экосистем в удаленных нерентабельных, но стратегически важных районах страны.</w:t>
      </w:r>
    </w:p>
    <w:p w14:paraId="28C61F48" w14:textId="77777777" w:rsidR="004B7EB4" w:rsidRPr="00AE7ED7" w:rsidRDefault="00DE3D83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в настоящее время актуален вопрос формирования нормативной правовой базы в сфере регулирования экосистем, в том числе с учетом большого потенциала таких систем в самоорганизации. </w:t>
      </w:r>
      <w:r w:rsidR="00E71069">
        <w:rPr>
          <w:rFonts w:ascii="Times New Roman" w:hAnsi="Times New Roman" w:cs="Times New Roman"/>
          <w:sz w:val="24"/>
          <w:szCs w:val="24"/>
        </w:rPr>
        <w:t>Следует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законодательно закрепить само понятие «экосистема», установить критерии</w:t>
      </w:r>
      <w:r w:rsidR="00E71069">
        <w:rPr>
          <w:rFonts w:ascii="Times New Roman" w:hAnsi="Times New Roman" w:cs="Times New Roman"/>
          <w:sz w:val="24"/>
          <w:szCs w:val="24"/>
        </w:rPr>
        <w:t xml:space="preserve"> экосистемы</w:t>
      </w:r>
      <w:r w:rsidR="004B7EB4" w:rsidRPr="00AE7ED7">
        <w:rPr>
          <w:rFonts w:ascii="Times New Roman" w:hAnsi="Times New Roman" w:cs="Times New Roman"/>
          <w:sz w:val="24"/>
          <w:szCs w:val="24"/>
        </w:rPr>
        <w:t>, которые позволят определить границы «цифровой платформы» и «цифровой экосистемы».</w:t>
      </w:r>
    </w:p>
    <w:p w14:paraId="53AAD323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72D894" w14:textId="77777777" w:rsidR="004B7EB4" w:rsidRPr="00AE7ED7" w:rsidRDefault="009F626B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8. </w:t>
      </w:r>
      <w:r w:rsidR="004B7EB4" w:rsidRPr="00AE7ED7">
        <w:rPr>
          <w:rFonts w:ascii="Times New Roman" w:hAnsi="Times New Roman" w:cs="Times New Roman"/>
          <w:sz w:val="24"/>
          <w:szCs w:val="24"/>
        </w:rPr>
        <w:t>В положениях Стратегии в отношении удаленной идентификации для дистанционного принятия клиента на обслуживание (</w:t>
      </w:r>
      <w:r w:rsidR="008814CA" w:rsidRPr="00AE7ED7">
        <w:rPr>
          <w:rFonts w:ascii="Times New Roman" w:hAnsi="Times New Roman" w:cs="Times New Roman"/>
          <w:sz w:val="24"/>
          <w:szCs w:val="24"/>
        </w:rPr>
        <w:t>стр. 16</w:t>
      </w:r>
      <w:r w:rsidR="004B7EB4" w:rsidRPr="00AE7ED7">
        <w:rPr>
          <w:rFonts w:ascii="Times New Roman" w:hAnsi="Times New Roman" w:cs="Times New Roman"/>
          <w:sz w:val="24"/>
          <w:szCs w:val="24"/>
        </w:rPr>
        <w:t>), целесообразно указать необходимость развития данных процедур не только для физических, но и для юридических лиц.</w:t>
      </w:r>
    </w:p>
    <w:p w14:paraId="5FEB9110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8F0D8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ab/>
      </w:r>
      <w:r w:rsidR="009F626B" w:rsidRPr="00AE7ED7">
        <w:rPr>
          <w:rFonts w:ascii="Times New Roman" w:hAnsi="Times New Roman" w:cs="Times New Roman"/>
          <w:sz w:val="24"/>
          <w:szCs w:val="24"/>
        </w:rPr>
        <w:t xml:space="preserve">9. </w:t>
      </w:r>
      <w:r w:rsidRPr="00AE7ED7">
        <w:rPr>
          <w:rFonts w:ascii="Times New Roman" w:hAnsi="Times New Roman" w:cs="Times New Roman"/>
          <w:sz w:val="24"/>
          <w:szCs w:val="24"/>
        </w:rPr>
        <w:t xml:space="preserve">В Стратегии указано, что Правительство Российской Федерации и Банк России продолжат противодействовать использованию денежных суррогатов, учитывая, что </w:t>
      </w:r>
      <w:r w:rsidR="00622B48">
        <w:rPr>
          <w:rFonts w:ascii="Times New Roman" w:hAnsi="Times New Roman" w:cs="Times New Roman"/>
          <w:sz w:val="24"/>
          <w:szCs w:val="24"/>
        </w:rPr>
        <w:t xml:space="preserve">использование указанных </w:t>
      </w:r>
      <w:r w:rsidR="004A09EF">
        <w:rPr>
          <w:rFonts w:ascii="Times New Roman" w:hAnsi="Times New Roman" w:cs="Times New Roman"/>
          <w:sz w:val="24"/>
          <w:szCs w:val="24"/>
        </w:rPr>
        <w:t xml:space="preserve">активов </w:t>
      </w:r>
      <w:r w:rsidRPr="00AE7ED7">
        <w:rPr>
          <w:rFonts w:ascii="Times New Roman" w:hAnsi="Times New Roman" w:cs="Times New Roman"/>
          <w:sz w:val="24"/>
          <w:szCs w:val="24"/>
        </w:rPr>
        <w:t>нес</w:t>
      </w:r>
      <w:r w:rsidR="00622B48">
        <w:rPr>
          <w:rFonts w:ascii="Times New Roman" w:hAnsi="Times New Roman" w:cs="Times New Roman"/>
          <w:sz w:val="24"/>
          <w:szCs w:val="24"/>
        </w:rPr>
        <w:t>е</w:t>
      </w:r>
      <w:r w:rsidRPr="00AE7ED7">
        <w:rPr>
          <w:rFonts w:ascii="Times New Roman" w:hAnsi="Times New Roman" w:cs="Times New Roman"/>
          <w:sz w:val="24"/>
          <w:szCs w:val="24"/>
        </w:rPr>
        <w:t>т высокие риски для граждан, а также может затруднять эффективное проведение макроэкономической политики, направленной на формирование благоприятных экономических условий</w:t>
      </w:r>
      <w:r w:rsidR="008814CA" w:rsidRPr="00AE7ED7">
        <w:rPr>
          <w:rFonts w:ascii="Times New Roman" w:hAnsi="Times New Roman" w:cs="Times New Roman"/>
          <w:sz w:val="24"/>
          <w:szCs w:val="24"/>
        </w:rPr>
        <w:t xml:space="preserve"> (стр. 18)</w:t>
      </w:r>
      <w:r w:rsidRPr="00AE7ED7">
        <w:rPr>
          <w:rFonts w:ascii="Times New Roman" w:hAnsi="Times New Roman" w:cs="Times New Roman"/>
          <w:sz w:val="24"/>
          <w:szCs w:val="24"/>
        </w:rPr>
        <w:t>.</w:t>
      </w:r>
    </w:p>
    <w:p w14:paraId="1CAC8D1A" w14:textId="147D9198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Следует отметить, что в настоящее время операции с крипто</w:t>
      </w:r>
      <w:bookmarkStart w:id="0" w:name="_GoBack"/>
      <w:bookmarkEnd w:id="0"/>
      <w:r w:rsidRPr="00AE7ED7">
        <w:rPr>
          <w:rFonts w:ascii="Times New Roman" w:hAnsi="Times New Roman" w:cs="Times New Roman"/>
          <w:sz w:val="24"/>
          <w:szCs w:val="24"/>
        </w:rPr>
        <w:t>активами находятся «в серой зоне», при этом инвестиции граждан России в криптовалюты оцениваются в значительные суммы, а доходы от совершения сделок получают иностранные компании и незарегистрированные посредники.</w:t>
      </w:r>
    </w:p>
    <w:p w14:paraId="22ADD106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ab/>
        <w:t>В этой связи полагаем, что вопрос о предоставлении российским инвесторам возможности работать с цифровыми финансовыми активами (в том числе криптовалютами) через российских профессиональных участников без физической поставки, а также о возможности создания инструментов коллективных инвестиций (БПИФ) с криптовалютами в качестве объектов инвестирования (только для квалифицированных инвесторов) требует дополнительной проработки.</w:t>
      </w:r>
    </w:p>
    <w:p w14:paraId="01389DF6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10A47B" w14:textId="77777777" w:rsidR="004B7EB4" w:rsidRPr="00AE7ED7" w:rsidRDefault="009F626B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4B7EB4" w:rsidRPr="00AE7ED7">
        <w:rPr>
          <w:rFonts w:ascii="Times New Roman" w:hAnsi="Times New Roman" w:cs="Times New Roman"/>
          <w:sz w:val="24"/>
          <w:szCs w:val="24"/>
        </w:rPr>
        <w:t>В связи с сохранением важной роли инвесторов-нерезидентов на российском рынке в периметр работы по направлению раздела 3.2. «Содействие цифровизации и развитию платежных сервисов» необходимо включить не только граждан, проживающих за рубежом, но и нерезидентов-юридических лиц, чьи представители подлежат обязательной идентификации обслуживающими их банками и профучастникам.</w:t>
      </w:r>
    </w:p>
    <w:p w14:paraId="3D82F2C7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A8977B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3.3. Государственное стимулирование развития финансового рынка</w:t>
      </w:r>
    </w:p>
    <w:p w14:paraId="55C825B2" w14:textId="77777777" w:rsidR="001B4781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5AF999" w14:textId="77777777" w:rsidR="004B7EB4" w:rsidRPr="00AE7ED7" w:rsidRDefault="009F626B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11. </w:t>
      </w:r>
      <w:r w:rsidR="004B7EB4" w:rsidRPr="00AE7ED7">
        <w:rPr>
          <w:rFonts w:ascii="Times New Roman" w:hAnsi="Times New Roman" w:cs="Times New Roman"/>
          <w:sz w:val="24"/>
          <w:szCs w:val="24"/>
        </w:rPr>
        <w:t>В Стратегии указано, что налоговое стимулирование будет применяться с целью поддержки минимальных сбережений граждан, стимулирования долгосрочных инвестиций граждан (ИИС, НПФ, страховые компании), запуска сложных инвестиционных проектов и привлечения нерезидентов</w:t>
      </w:r>
      <w:r w:rsidR="008814CA" w:rsidRPr="00AE7ED7">
        <w:rPr>
          <w:rFonts w:ascii="Times New Roman" w:hAnsi="Times New Roman" w:cs="Times New Roman"/>
          <w:sz w:val="24"/>
          <w:szCs w:val="24"/>
        </w:rPr>
        <w:t xml:space="preserve"> (стр.20)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65DEB" w14:textId="4E235881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Одним из направлений налогового стимулирования является «стимулирование долгосрочных инвестиций граждан в российскую экономику, в том числе с использованием механизма ИИС». Профсообщество поддерживает это направление, в частности, совместно с Банком России ведется работает над поправками в законодательство в части совершенствовани</w:t>
      </w:r>
      <w:r w:rsidR="00FB16E0">
        <w:rPr>
          <w:rFonts w:ascii="Times New Roman" w:hAnsi="Times New Roman" w:cs="Times New Roman"/>
          <w:sz w:val="24"/>
          <w:szCs w:val="24"/>
        </w:rPr>
        <w:t>я</w:t>
      </w:r>
      <w:r w:rsidRPr="00AE7ED7">
        <w:rPr>
          <w:rFonts w:ascii="Times New Roman" w:hAnsi="Times New Roman" w:cs="Times New Roman"/>
          <w:sz w:val="24"/>
          <w:szCs w:val="24"/>
        </w:rPr>
        <w:t xml:space="preserve"> ИИС типа «Б».</w:t>
      </w:r>
    </w:p>
    <w:p w14:paraId="4DEDB33F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Однако в Стратегии представлен закрытый перечень налогового стимулирования, включающий всего несколько направлений (стр. 19-21), что, по нашему мнению, затруднит внесение изменений в НК РФ, направленных на совершенствование налогового законодательства в связи с развитием финансового рынка на постоянной основе.</w:t>
      </w:r>
    </w:p>
    <w:p w14:paraId="33025E8A" w14:textId="3D0738E9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В частности, при предлагаемой формулировке концепции налогового стимулирования затруднительна будет реализация ряда инициатив рынка, направленных на развитие инструментов финансового рынка (ценных бумаг, договоров РЕПО, ПФИ, операций хеджирования, операций с обеспечительным платежом и др.) в том числе для приведени</w:t>
      </w:r>
      <w:r w:rsidR="00FB16E0">
        <w:rPr>
          <w:rFonts w:ascii="Times New Roman" w:hAnsi="Times New Roman" w:cs="Times New Roman"/>
          <w:sz w:val="24"/>
          <w:szCs w:val="24"/>
        </w:rPr>
        <w:t>я</w:t>
      </w:r>
      <w:r w:rsidRPr="00AE7ED7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и нормами международного права в целях повышения конкурентоспособности российского рынка ценных бумаг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 (в части совершенствования НК РФ см. Предложения СРО НФА по Плану мероприятий по реализации ОНРФР, представлены письмом СРО НФА от 26.11.2021 № 2773)</w:t>
      </w:r>
      <w:r w:rsidRPr="00AE7ED7">
        <w:rPr>
          <w:rFonts w:ascii="Times New Roman" w:hAnsi="Times New Roman" w:cs="Times New Roman"/>
          <w:sz w:val="24"/>
          <w:szCs w:val="24"/>
        </w:rPr>
        <w:t>.</w:t>
      </w:r>
    </w:p>
    <w:p w14:paraId="7CF1A820" w14:textId="77777777" w:rsidR="00511520" w:rsidRPr="00AE7ED7" w:rsidRDefault="00511520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В качестве одного из основных предложений государственного стимулирования развития финансового рынка участники называют создание четкой и понятной системы налоговых льгот и государственных гарантий </w:t>
      </w:r>
      <w:r w:rsidR="00AE7ED7" w:rsidRPr="00AE7ED7">
        <w:rPr>
          <w:rFonts w:ascii="Times New Roman" w:hAnsi="Times New Roman" w:cs="Times New Roman"/>
          <w:sz w:val="24"/>
          <w:szCs w:val="24"/>
        </w:rPr>
        <w:t>в сфере финансового рынка.</w:t>
      </w:r>
    </w:p>
    <w:p w14:paraId="5DCBC537" w14:textId="77777777" w:rsidR="00AE7ED7" w:rsidRPr="00AE7ED7" w:rsidRDefault="00AE7ED7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9B6E7" w14:textId="77777777" w:rsidR="004B7EB4" w:rsidRPr="00AE7ED7" w:rsidRDefault="009F626B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12. 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При упоминании финансовых посредников, для которых Стратегией предполагается создать благоприятные налоговые условия обслуживания иностранных инвесторов, важно </w:t>
      </w:r>
      <w:r w:rsidR="00DB1DD4" w:rsidRPr="00AE7ED7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4B7EB4" w:rsidRPr="00AE7ED7">
        <w:rPr>
          <w:rFonts w:ascii="Times New Roman" w:hAnsi="Times New Roman" w:cs="Times New Roman"/>
          <w:sz w:val="24"/>
          <w:szCs w:val="24"/>
        </w:rPr>
        <w:t>не только брокеров и управляющие компании, но также представителей учетной инфраструктуры, в том числе депозитариев, осуществляющих как функцию налогового агента, так и обеспечивающих эффективные расчеты на рынке ценных бумаг за счет оптимизации издержек инвесторов и эмитентов, гарантирующих надлежащую операционную надежность, а также обеспечивающих механизмы защиты имущественных прав инвесторов.</w:t>
      </w:r>
    </w:p>
    <w:p w14:paraId="25CAB9A6" w14:textId="77777777" w:rsidR="004B7EB4" w:rsidRPr="00AE7ED7" w:rsidRDefault="00DB1DD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B7EB4" w:rsidRPr="00AE7ED7">
        <w:rPr>
          <w:rFonts w:ascii="Times New Roman" w:hAnsi="Times New Roman" w:cs="Times New Roman"/>
          <w:sz w:val="24"/>
          <w:szCs w:val="24"/>
        </w:rPr>
        <w:t>важн</w:t>
      </w:r>
      <w:r w:rsidR="009F626B" w:rsidRPr="00AE7ED7">
        <w:rPr>
          <w:rFonts w:ascii="Times New Roman" w:hAnsi="Times New Roman" w:cs="Times New Roman"/>
          <w:sz w:val="24"/>
          <w:szCs w:val="24"/>
        </w:rPr>
        <w:t>ым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направлением работы является унификация и централизация имеющейся у регуляторов информации о нерезидентах для целей уменьшения операционной нагрузки и затрат участников рынка</w:t>
      </w:r>
      <w:r w:rsidRPr="00AE7ED7">
        <w:rPr>
          <w:rFonts w:ascii="Times New Roman" w:hAnsi="Times New Roman" w:cs="Times New Roman"/>
          <w:sz w:val="24"/>
          <w:szCs w:val="24"/>
        </w:rPr>
        <w:t>, а также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снижения рисков налоговых агентов</w:t>
      </w:r>
      <w:r w:rsidRPr="00AE7ED7">
        <w:rPr>
          <w:rFonts w:ascii="Times New Roman" w:hAnsi="Times New Roman" w:cs="Times New Roman"/>
          <w:sz w:val="24"/>
          <w:szCs w:val="24"/>
        </w:rPr>
        <w:t>.</w:t>
      </w:r>
    </w:p>
    <w:p w14:paraId="6D40E759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83D90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3.4. Подготовка кадров для финансового рынка</w:t>
      </w:r>
    </w:p>
    <w:p w14:paraId="675E9D72" w14:textId="77777777" w:rsidR="001B4781" w:rsidRPr="00AE7ED7" w:rsidRDefault="001B4781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CAFA0D" w14:textId="77777777" w:rsidR="004B7EB4" w:rsidRPr="00AE7ED7" w:rsidRDefault="009F626B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13. </w:t>
      </w:r>
      <w:r w:rsidR="004B7EB4" w:rsidRPr="00AE7ED7">
        <w:rPr>
          <w:rFonts w:ascii="Times New Roman" w:hAnsi="Times New Roman" w:cs="Times New Roman"/>
          <w:sz w:val="24"/>
          <w:szCs w:val="24"/>
        </w:rPr>
        <w:t>Стратегию следует дополнить положениями о развитии обучения в области финансового рынка не только для финансовой индустрии, но и для специалистов в других сферах экономики, поскольку все большее число предприятий реального сектора используют инструменты финансового рынка как для привлечения долгового финансирования и акционерного капитала, так и для размещения денежных средств.</w:t>
      </w:r>
    </w:p>
    <w:p w14:paraId="0CE7A42F" w14:textId="77777777" w:rsidR="004B7EB4" w:rsidRPr="00AE7ED7" w:rsidRDefault="00DB1DD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Кроме того</w:t>
      </w:r>
      <w:r w:rsidR="004B7EB4" w:rsidRPr="00AE7ED7">
        <w:rPr>
          <w:rFonts w:ascii="Times New Roman" w:hAnsi="Times New Roman" w:cs="Times New Roman"/>
          <w:sz w:val="24"/>
          <w:szCs w:val="24"/>
        </w:rPr>
        <w:t>, необходимо развивать культуру хеджирования в том числе среди корпоративных инвесторов, компаний с государственным участием.</w:t>
      </w:r>
    </w:p>
    <w:p w14:paraId="2D926249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161BC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3.6. Реконфигурация регулирования</w:t>
      </w:r>
    </w:p>
    <w:p w14:paraId="729F539E" w14:textId="77777777" w:rsidR="001B4781" w:rsidRPr="00AE7ED7" w:rsidRDefault="001B4781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57CAEF" w14:textId="77777777" w:rsidR="00010E1C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14.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Профсообщество поддерживает обозначенный в Стратегии подход регулирования, заключающийся в расширении использования стандартов, кодексов, рекомендаций СРО в качестве инструмента мягкого регулирования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 (о внутреннем стандарте СРО НФА «Этический кодекс при работе на финансовом рынке членов Саморегулируемой организации «Национальная финансовая ассоциация» и о Кодекс</w:t>
      </w:r>
      <w:r w:rsidR="0007242A">
        <w:rPr>
          <w:rFonts w:ascii="Times New Roman" w:hAnsi="Times New Roman" w:cs="Times New Roman"/>
          <w:sz w:val="24"/>
          <w:szCs w:val="24"/>
        </w:rPr>
        <w:t>е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 этики финансового аналитика Саморегулируемой организации «Национальная финансовая ассоциация» см. Предложени</w:t>
      </w:r>
      <w:r w:rsidR="0007242A">
        <w:rPr>
          <w:rFonts w:ascii="Times New Roman" w:hAnsi="Times New Roman" w:cs="Times New Roman"/>
          <w:sz w:val="24"/>
          <w:szCs w:val="24"/>
        </w:rPr>
        <w:t>я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 СРО НФА по Плану мероприятий по реализации ОНРФР, представлены письмом СРО НФА от 26.11.2021 № 2773)</w:t>
      </w:r>
      <w:r w:rsidR="00CB5EF5" w:rsidRPr="00AE7ED7">
        <w:rPr>
          <w:rFonts w:ascii="Times New Roman" w:hAnsi="Times New Roman" w:cs="Times New Roman"/>
          <w:sz w:val="24"/>
          <w:szCs w:val="24"/>
        </w:rPr>
        <w:t>.</w:t>
      </w:r>
    </w:p>
    <w:p w14:paraId="74111A72" w14:textId="77777777" w:rsidR="00BE7BAB" w:rsidRPr="00AE7ED7" w:rsidRDefault="00BE7BAB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F308FA2" w14:textId="77777777" w:rsidR="004B7EB4" w:rsidRPr="00AE7ED7" w:rsidRDefault="001B4781" w:rsidP="0009303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15.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В Стратегии следует обозначить необходимость снижения общей регуляторной нагрузки на участников финансового рынка, кредитные и некредитные </w:t>
      </w:r>
      <w:r w:rsidR="00074184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организации, в том числе с учетом развития цифровых технологий, а также необходимость исключения дублирующих норм и требований. Определенные шаги в этом направлении уже сделаны в рамках «Регуляторной гильотины» (Рабочая группа </w:t>
      </w:r>
      <w:r w:rsidR="00093031" w:rsidRPr="00093031">
        <w:rPr>
          <w:rFonts w:ascii="Times New Roman" w:hAnsi="Times New Roman" w:cs="Times New Roman"/>
          <w:sz w:val="24"/>
          <w:szCs w:val="24"/>
        </w:rPr>
        <w:t>по оптимизации регуляторной нагрузки на финансовом рынке</w:t>
      </w:r>
      <w:r w:rsidR="00093031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, созданная с участием </w:t>
      </w:r>
      <w:r w:rsidR="00093031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4B7EB4" w:rsidRPr="00AE7ED7">
        <w:rPr>
          <w:rFonts w:ascii="Times New Roman" w:hAnsi="Times New Roman" w:cs="Times New Roman"/>
          <w:sz w:val="24"/>
          <w:szCs w:val="24"/>
        </w:rPr>
        <w:t>профсообщества, осуществля</w:t>
      </w:r>
      <w:r w:rsidR="0007242A">
        <w:rPr>
          <w:rFonts w:ascii="Times New Roman" w:hAnsi="Times New Roman" w:cs="Times New Roman"/>
          <w:sz w:val="24"/>
          <w:szCs w:val="24"/>
        </w:rPr>
        <w:t>ет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свою деятельность на площадке АЦ «Форум»). В частности, проведена работа по сокращению отчетности кредитных и некредитных </w:t>
      </w:r>
      <w:r w:rsidR="00093031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4B7EB4" w:rsidRPr="00AE7ED7">
        <w:rPr>
          <w:rFonts w:ascii="Times New Roman" w:hAnsi="Times New Roman" w:cs="Times New Roman"/>
          <w:sz w:val="24"/>
          <w:szCs w:val="24"/>
        </w:rPr>
        <w:t>организаций, предоставляемой Банку России, в Государственную Думу внесен проект федерального закона № 10308-8 «О внесении изменений в отдельные законодательные акты Российской Федерации», направленный на оптимизацию регуляторной нагрузки в отношении участников финансового рынка. Законопроект поддержан профсообществом.</w:t>
      </w:r>
    </w:p>
    <w:p w14:paraId="15031C63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Считаем, что работа по снижению регуляторной</w:t>
      </w:r>
      <w:r w:rsidR="00093031">
        <w:rPr>
          <w:rFonts w:ascii="Times New Roman" w:hAnsi="Times New Roman" w:cs="Times New Roman"/>
          <w:sz w:val="24"/>
          <w:szCs w:val="24"/>
        </w:rPr>
        <w:t xml:space="preserve"> нагрузки является одним из наиболее важных направлений деятельности, она </w:t>
      </w:r>
      <w:r w:rsidRPr="00AE7ED7">
        <w:rPr>
          <w:rFonts w:ascii="Times New Roman" w:hAnsi="Times New Roman" w:cs="Times New Roman"/>
          <w:sz w:val="24"/>
          <w:szCs w:val="24"/>
        </w:rPr>
        <w:t>должна быть продолжена, соответствующий мониторинг необходимо проводить на постоянной основе.</w:t>
      </w:r>
    </w:p>
    <w:p w14:paraId="3364AFF9" w14:textId="77777777" w:rsidR="001B4781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BFAB2A" w14:textId="77777777" w:rsidR="004B7EB4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16.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Поддерживаем расширение возможностей для применения экспериментальных правовых режимов для пилотирования инновационных проектов и сервисов (стр. 25).</w:t>
      </w:r>
    </w:p>
    <w:p w14:paraId="2C163D94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Вместе с тем считаем целесообразным конкретизировать обозначенную в Стратегии необходимость сокращения сроков формирования правовых основ для появления новых бизнес-моделей с учетом того, что в настоящее время участники рынка вынуждены постоянно перестраивать свои бизнес-процессы, адаптируя их к быстро меняющемуся </w:t>
      </w:r>
      <w:r w:rsidRPr="00AE7ED7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регулированию, что требует значительных временных и финансовых затрат. По мнению СРО НФА, вопрос </w:t>
      </w:r>
      <w:r w:rsidR="00093031">
        <w:rPr>
          <w:rFonts w:ascii="Times New Roman" w:hAnsi="Times New Roman" w:cs="Times New Roman"/>
          <w:sz w:val="24"/>
          <w:szCs w:val="24"/>
        </w:rPr>
        <w:t xml:space="preserve">о </w:t>
      </w:r>
      <w:r w:rsidRPr="00AE7ED7">
        <w:rPr>
          <w:rFonts w:ascii="Times New Roman" w:hAnsi="Times New Roman" w:cs="Times New Roman"/>
          <w:sz w:val="24"/>
          <w:szCs w:val="24"/>
        </w:rPr>
        <w:t>срок</w:t>
      </w:r>
      <w:r w:rsidR="00093031">
        <w:rPr>
          <w:rFonts w:ascii="Times New Roman" w:hAnsi="Times New Roman" w:cs="Times New Roman"/>
          <w:sz w:val="24"/>
          <w:szCs w:val="24"/>
        </w:rPr>
        <w:t>ах</w:t>
      </w:r>
      <w:r w:rsidRPr="00AE7ED7">
        <w:rPr>
          <w:rFonts w:ascii="Times New Roman" w:hAnsi="Times New Roman" w:cs="Times New Roman"/>
          <w:sz w:val="24"/>
          <w:szCs w:val="24"/>
        </w:rPr>
        <w:t xml:space="preserve"> введения нового (измененного) регулирования должен решаться </w:t>
      </w:r>
      <w:r w:rsidR="00093031" w:rsidRPr="00AE7ED7">
        <w:rPr>
          <w:rFonts w:ascii="Times New Roman" w:hAnsi="Times New Roman" w:cs="Times New Roman"/>
          <w:sz w:val="24"/>
          <w:szCs w:val="24"/>
        </w:rPr>
        <w:t xml:space="preserve">в диалоге с профсообществом </w:t>
      </w:r>
      <w:r w:rsidRPr="00AE7ED7">
        <w:rPr>
          <w:rFonts w:ascii="Times New Roman" w:hAnsi="Times New Roman" w:cs="Times New Roman"/>
          <w:sz w:val="24"/>
          <w:szCs w:val="24"/>
        </w:rPr>
        <w:t>с учетом степени увеличения нагрузки на бизнес</w:t>
      </w:r>
      <w:r w:rsidR="00BA629A" w:rsidRPr="00AE7ED7">
        <w:rPr>
          <w:rFonts w:ascii="Times New Roman" w:hAnsi="Times New Roman" w:cs="Times New Roman"/>
          <w:sz w:val="24"/>
          <w:szCs w:val="24"/>
        </w:rPr>
        <w:t>, связанн</w:t>
      </w:r>
      <w:r w:rsidR="00420855" w:rsidRPr="00AE7ED7">
        <w:rPr>
          <w:rFonts w:ascii="Times New Roman" w:hAnsi="Times New Roman" w:cs="Times New Roman"/>
          <w:sz w:val="24"/>
          <w:szCs w:val="24"/>
        </w:rPr>
        <w:t>ой</w:t>
      </w:r>
      <w:r w:rsidR="00BA629A" w:rsidRPr="00AE7ED7">
        <w:rPr>
          <w:rFonts w:ascii="Times New Roman" w:hAnsi="Times New Roman" w:cs="Times New Roman"/>
          <w:sz w:val="24"/>
          <w:szCs w:val="24"/>
        </w:rPr>
        <w:t xml:space="preserve"> со всей совокупностью текущих изменений</w:t>
      </w:r>
      <w:r w:rsidRPr="00AE7ED7">
        <w:rPr>
          <w:rFonts w:ascii="Times New Roman" w:hAnsi="Times New Roman" w:cs="Times New Roman"/>
          <w:sz w:val="24"/>
          <w:szCs w:val="24"/>
        </w:rPr>
        <w:t>.</w:t>
      </w:r>
    </w:p>
    <w:p w14:paraId="6C453001" w14:textId="77777777" w:rsidR="00BA629A" w:rsidRPr="00AE7ED7" w:rsidRDefault="00BA629A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4F7D04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3.9. Международная интеграция</w:t>
      </w:r>
    </w:p>
    <w:p w14:paraId="457BD699" w14:textId="77777777" w:rsidR="001B4781" w:rsidRPr="00AE7ED7" w:rsidRDefault="001B4781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E484BF" w14:textId="77777777" w:rsidR="004B7EB4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17. </w:t>
      </w:r>
      <w:r w:rsidR="004B7EB4" w:rsidRPr="00AE7ED7">
        <w:rPr>
          <w:rFonts w:ascii="Times New Roman" w:hAnsi="Times New Roman" w:cs="Times New Roman"/>
          <w:sz w:val="24"/>
          <w:szCs w:val="24"/>
        </w:rPr>
        <w:t>При описании роли институциональных инвесторов предлагаем закрепить (не исключая закрепление на законодательном</w:t>
      </w:r>
      <w:r w:rsidR="004402A6">
        <w:rPr>
          <w:rFonts w:ascii="Times New Roman" w:hAnsi="Times New Roman" w:cs="Times New Roman"/>
          <w:sz w:val="24"/>
          <w:szCs w:val="24"/>
        </w:rPr>
        <w:t>,</w:t>
      </w:r>
      <w:r w:rsidR="004B7EB4" w:rsidRPr="00AE7ED7">
        <w:rPr>
          <w:rFonts w:ascii="Times New Roman" w:hAnsi="Times New Roman" w:cs="Times New Roman"/>
          <w:sz w:val="24"/>
          <w:szCs w:val="24"/>
        </w:rPr>
        <w:t xml:space="preserve"> регуляторном уровне) </w:t>
      </w:r>
      <w:r w:rsidR="00074184" w:rsidRPr="00AE7ED7">
        <w:rPr>
          <w:rFonts w:ascii="Times New Roman" w:hAnsi="Times New Roman" w:cs="Times New Roman"/>
          <w:sz w:val="24"/>
          <w:szCs w:val="24"/>
        </w:rPr>
        <w:t xml:space="preserve">более активное </w:t>
      </w:r>
      <w:r w:rsidR="004B7EB4" w:rsidRPr="00AE7ED7">
        <w:rPr>
          <w:rFonts w:ascii="Times New Roman" w:hAnsi="Times New Roman" w:cs="Times New Roman"/>
          <w:sz w:val="24"/>
          <w:szCs w:val="24"/>
        </w:rPr>
        <w:t>привлечение профессиональных управляющих компаний к управлению бюджетными и «квазибюджетными» средствами (пенсионные накопления «молчунов», ликвидная часть ФНБ, средства резерва по обязательному пенсионному страхованию ПФР, временно свободные денежные средства государственных компаний и государственных корпораций, институтов развития и т.п.).</w:t>
      </w:r>
    </w:p>
    <w:p w14:paraId="6BC57311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DC51A8" w14:textId="77777777" w:rsidR="004B7EB4" w:rsidRPr="00AE7ED7" w:rsidRDefault="004B7EB4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замечания по Стратегии</w:t>
      </w:r>
    </w:p>
    <w:p w14:paraId="6F3564E2" w14:textId="77777777" w:rsidR="001B4781" w:rsidRPr="00AE7ED7" w:rsidRDefault="001B4781" w:rsidP="00AE7ED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6C1D8C" w14:textId="77777777" w:rsidR="00A7047E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 xml:space="preserve">18. </w:t>
      </w:r>
      <w:r w:rsidR="004B7EB4" w:rsidRPr="00AE7ED7">
        <w:rPr>
          <w:rFonts w:ascii="Times New Roman" w:hAnsi="Times New Roman" w:cs="Times New Roman"/>
          <w:sz w:val="24"/>
          <w:szCs w:val="24"/>
        </w:rPr>
        <w:t>В Стратегии не определены направления развития пенсионной системы, хотя это важнейший элемент механизма «длинных ден</w:t>
      </w:r>
      <w:r w:rsidR="00A7047E" w:rsidRPr="00AE7ED7">
        <w:rPr>
          <w:rFonts w:ascii="Times New Roman" w:hAnsi="Times New Roman" w:cs="Times New Roman"/>
          <w:sz w:val="24"/>
          <w:szCs w:val="24"/>
        </w:rPr>
        <w:t>е</w:t>
      </w:r>
      <w:r w:rsidR="004B7EB4" w:rsidRPr="00AE7ED7">
        <w:rPr>
          <w:rFonts w:ascii="Times New Roman" w:hAnsi="Times New Roman" w:cs="Times New Roman"/>
          <w:sz w:val="24"/>
          <w:szCs w:val="24"/>
        </w:rPr>
        <w:t>г».</w:t>
      </w:r>
    </w:p>
    <w:p w14:paraId="44B66FFB" w14:textId="77777777" w:rsidR="004B7EB4" w:rsidRPr="00AE7ED7" w:rsidRDefault="004B7EB4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Также в Стратегии следует уделить большее внимание проблемам банковского сектора.</w:t>
      </w:r>
    </w:p>
    <w:p w14:paraId="25F2CE38" w14:textId="77777777" w:rsidR="00010E1C" w:rsidRPr="00AE7ED7" w:rsidRDefault="001B4781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D7">
        <w:rPr>
          <w:rFonts w:ascii="Times New Roman" w:hAnsi="Times New Roman" w:cs="Times New Roman"/>
          <w:sz w:val="24"/>
          <w:szCs w:val="24"/>
        </w:rPr>
        <w:t>Кроме того, п</w:t>
      </w:r>
      <w:r w:rsidR="00A7047E" w:rsidRPr="00AE7ED7">
        <w:rPr>
          <w:rFonts w:ascii="Times New Roman" w:hAnsi="Times New Roman" w:cs="Times New Roman"/>
          <w:sz w:val="24"/>
          <w:szCs w:val="24"/>
        </w:rPr>
        <w:t>о мнению некоторых участников</w:t>
      </w:r>
      <w:r w:rsidRPr="00AE7ED7">
        <w:rPr>
          <w:rFonts w:ascii="Times New Roman" w:hAnsi="Times New Roman" w:cs="Times New Roman"/>
          <w:sz w:val="24"/>
          <w:szCs w:val="24"/>
        </w:rPr>
        <w:t>,</w:t>
      </w:r>
      <w:r w:rsidR="00A7047E" w:rsidRPr="00AE7ED7">
        <w:rPr>
          <w:rFonts w:ascii="Times New Roman" w:hAnsi="Times New Roman" w:cs="Times New Roman"/>
          <w:sz w:val="24"/>
          <w:szCs w:val="24"/>
        </w:rPr>
        <w:t xml:space="preserve"> одной из отличительных особенностей текущего состояния российского финансового рынка является действие ограничительных мер (санкций), принятых иностранными государствами, которые</w:t>
      </w:r>
      <w:r w:rsidR="00810189">
        <w:rPr>
          <w:rFonts w:ascii="Times New Roman" w:hAnsi="Times New Roman" w:cs="Times New Roman"/>
          <w:sz w:val="24"/>
          <w:szCs w:val="24"/>
        </w:rPr>
        <w:t>, например,</w:t>
      </w:r>
      <w:r w:rsidR="00A7047E" w:rsidRPr="00AE7ED7">
        <w:rPr>
          <w:rFonts w:ascii="Times New Roman" w:hAnsi="Times New Roman" w:cs="Times New Roman"/>
          <w:sz w:val="24"/>
          <w:szCs w:val="24"/>
        </w:rPr>
        <w:t xml:space="preserve"> ограничивают возможности финансирования деятельности отечественных предприятий за счет не только зарубежных источников, но и за счет публичных заимствований на российском рынке капитала.</w:t>
      </w:r>
      <w:r w:rsidR="00074184">
        <w:rPr>
          <w:rFonts w:ascii="Times New Roman" w:hAnsi="Times New Roman" w:cs="Times New Roman"/>
          <w:sz w:val="24"/>
          <w:szCs w:val="24"/>
        </w:rPr>
        <w:t xml:space="preserve"> </w:t>
      </w:r>
      <w:r w:rsidR="00CB5EF5" w:rsidRPr="00AE7ED7">
        <w:rPr>
          <w:rFonts w:ascii="Times New Roman" w:hAnsi="Times New Roman" w:cs="Times New Roman"/>
          <w:sz w:val="24"/>
          <w:szCs w:val="24"/>
        </w:rPr>
        <w:t>Полагаем, что</w:t>
      </w:r>
      <w:r w:rsidR="00010E1C" w:rsidRPr="00AE7ED7">
        <w:rPr>
          <w:rFonts w:ascii="Times New Roman" w:hAnsi="Times New Roman" w:cs="Times New Roman"/>
          <w:sz w:val="24"/>
          <w:szCs w:val="24"/>
        </w:rPr>
        <w:t xml:space="preserve"> в Стратегии следует обозначить </w:t>
      </w:r>
      <w:r w:rsidR="00074184">
        <w:rPr>
          <w:rFonts w:ascii="Times New Roman" w:hAnsi="Times New Roman" w:cs="Times New Roman"/>
          <w:sz w:val="24"/>
          <w:szCs w:val="24"/>
        </w:rPr>
        <w:t>направления работы в данной области</w:t>
      </w:r>
      <w:r w:rsidR="00CB5EF5" w:rsidRPr="00AE7ED7">
        <w:rPr>
          <w:rFonts w:ascii="Times New Roman" w:hAnsi="Times New Roman" w:cs="Times New Roman"/>
          <w:sz w:val="24"/>
          <w:szCs w:val="24"/>
        </w:rPr>
        <w:t>.</w:t>
      </w:r>
    </w:p>
    <w:p w14:paraId="6EDE129B" w14:textId="77777777" w:rsidR="00CB5EF5" w:rsidRPr="00AE7ED7" w:rsidRDefault="00CB5EF5" w:rsidP="00AE7ED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5EF5" w:rsidRPr="00AE7ED7" w:rsidSect="001B47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CD88" w14:textId="77777777" w:rsidR="009810FE" w:rsidRDefault="009810FE" w:rsidP="001B4781">
      <w:pPr>
        <w:spacing w:after="0" w:line="240" w:lineRule="auto"/>
      </w:pPr>
      <w:r>
        <w:separator/>
      </w:r>
    </w:p>
  </w:endnote>
  <w:endnote w:type="continuationSeparator" w:id="0">
    <w:p w14:paraId="6513A8A0" w14:textId="77777777" w:rsidR="009810FE" w:rsidRDefault="009810FE" w:rsidP="001B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E40C1" w14:textId="77777777" w:rsidR="009810FE" w:rsidRDefault="009810FE" w:rsidP="001B4781">
      <w:pPr>
        <w:spacing w:after="0" w:line="240" w:lineRule="auto"/>
      </w:pPr>
      <w:r>
        <w:separator/>
      </w:r>
    </w:p>
  </w:footnote>
  <w:footnote w:type="continuationSeparator" w:id="0">
    <w:p w14:paraId="54A923AE" w14:textId="77777777" w:rsidR="009810FE" w:rsidRDefault="009810FE" w:rsidP="001B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807448"/>
      <w:docPartObj>
        <w:docPartGallery w:val="Page Numbers (Top of Page)"/>
        <w:docPartUnique/>
      </w:docPartObj>
    </w:sdtPr>
    <w:sdtEndPr/>
    <w:sdtContent>
      <w:p w14:paraId="7ED6FE90" w14:textId="77777777" w:rsidR="001B4781" w:rsidRDefault="001B47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0C7C9" w14:textId="77777777" w:rsidR="001B4781" w:rsidRDefault="001B4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C5"/>
    <w:rsid w:val="00010E1C"/>
    <w:rsid w:val="0007242A"/>
    <w:rsid w:val="00074184"/>
    <w:rsid w:val="00093031"/>
    <w:rsid w:val="000A1672"/>
    <w:rsid w:val="000A563E"/>
    <w:rsid w:val="000C0AD9"/>
    <w:rsid w:val="000D06BB"/>
    <w:rsid w:val="001B4781"/>
    <w:rsid w:val="002149F4"/>
    <w:rsid w:val="00420855"/>
    <w:rsid w:val="004402A6"/>
    <w:rsid w:val="004A09EF"/>
    <w:rsid w:val="004B7EB4"/>
    <w:rsid w:val="00511520"/>
    <w:rsid w:val="00585AB0"/>
    <w:rsid w:val="005B306C"/>
    <w:rsid w:val="00622B48"/>
    <w:rsid w:val="00757FE3"/>
    <w:rsid w:val="00810189"/>
    <w:rsid w:val="008814CA"/>
    <w:rsid w:val="00883DC5"/>
    <w:rsid w:val="008C1B8A"/>
    <w:rsid w:val="00967F09"/>
    <w:rsid w:val="009810FE"/>
    <w:rsid w:val="009F626B"/>
    <w:rsid w:val="00A7047E"/>
    <w:rsid w:val="00AB4EA4"/>
    <w:rsid w:val="00AE7ED7"/>
    <w:rsid w:val="00B00D56"/>
    <w:rsid w:val="00BA629A"/>
    <w:rsid w:val="00BE7BAB"/>
    <w:rsid w:val="00C60245"/>
    <w:rsid w:val="00C61F14"/>
    <w:rsid w:val="00C74F8B"/>
    <w:rsid w:val="00CB5EF5"/>
    <w:rsid w:val="00D303C1"/>
    <w:rsid w:val="00DA6E4A"/>
    <w:rsid w:val="00DB0173"/>
    <w:rsid w:val="00DB1DD4"/>
    <w:rsid w:val="00DE3D83"/>
    <w:rsid w:val="00E71069"/>
    <w:rsid w:val="00EA13E1"/>
    <w:rsid w:val="00EB1E3C"/>
    <w:rsid w:val="00EF4848"/>
    <w:rsid w:val="00F67C26"/>
    <w:rsid w:val="00F77EFF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CE6A"/>
  <w15:chartTrackingRefBased/>
  <w15:docId w15:val="{D56D3556-7183-4C51-8E1C-A6B60DD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781"/>
  </w:style>
  <w:style w:type="paragraph" w:styleId="a6">
    <w:name w:val="footer"/>
    <w:basedOn w:val="a"/>
    <w:link w:val="a7"/>
    <w:uiPriority w:val="99"/>
    <w:unhideWhenUsed/>
    <w:rsid w:val="001B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781"/>
  </w:style>
  <w:style w:type="paragraph" w:styleId="a8">
    <w:name w:val="Revision"/>
    <w:hidden/>
    <w:uiPriority w:val="99"/>
    <w:semiHidden/>
    <w:rsid w:val="008C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Головлева</dc:creator>
  <cp:keywords/>
  <dc:description/>
  <cp:lastModifiedBy>Наталья Головлева</cp:lastModifiedBy>
  <cp:revision>4</cp:revision>
  <dcterms:created xsi:type="dcterms:W3CDTF">2021-12-30T11:21:00Z</dcterms:created>
  <dcterms:modified xsi:type="dcterms:W3CDTF">2021-12-30T11:51:00Z</dcterms:modified>
</cp:coreProperties>
</file>