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4CC50" w14:textId="77777777" w:rsidR="009F183A" w:rsidRPr="0064398F" w:rsidRDefault="009F183A" w:rsidP="006E6C6A">
      <w:pPr>
        <w:spacing w:after="120" w:line="240" w:lineRule="auto"/>
        <w:ind w:left="-180"/>
        <w:jc w:val="right"/>
        <w:rPr>
          <w:rFonts w:ascii="CorporateA" w:hAnsi="CorporateA" w:cs="CorporateA"/>
          <w:i/>
          <w:iCs/>
          <w:color w:val="404040"/>
        </w:rPr>
      </w:pPr>
    </w:p>
    <w:p w14:paraId="1B4EC3B3" w14:textId="77777777" w:rsidR="009F183A" w:rsidRDefault="009F183A" w:rsidP="0064398F">
      <w:pPr>
        <w:spacing w:after="120" w:line="240" w:lineRule="auto"/>
        <w:ind w:firstLine="709"/>
        <w:jc w:val="right"/>
        <w:rPr>
          <w:rFonts w:ascii="Times New Roman" w:hAnsi="Times New Roman" w:cs="Times New Roman"/>
          <w:i/>
          <w:iCs/>
          <w:color w:val="404040"/>
        </w:rPr>
      </w:pPr>
    </w:p>
    <w:p w14:paraId="37B66B11" w14:textId="77777777" w:rsidR="009F183A" w:rsidRDefault="009F183A" w:rsidP="0064398F">
      <w:pPr>
        <w:spacing w:after="120" w:line="240" w:lineRule="auto"/>
        <w:ind w:firstLine="709"/>
        <w:jc w:val="right"/>
        <w:rPr>
          <w:rFonts w:ascii="Times New Roman" w:hAnsi="Times New Roman" w:cs="Times New Roman"/>
          <w:i/>
          <w:iCs/>
          <w:color w:val="404040"/>
        </w:rPr>
      </w:pPr>
    </w:p>
    <w:p w14:paraId="6C363820" w14:textId="77777777" w:rsidR="009F183A" w:rsidRDefault="009F183A" w:rsidP="0064398F">
      <w:pPr>
        <w:spacing w:after="120" w:line="240" w:lineRule="auto"/>
        <w:ind w:firstLine="709"/>
        <w:jc w:val="right"/>
        <w:rPr>
          <w:rFonts w:ascii="Times New Roman" w:hAnsi="Times New Roman" w:cs="Times New Roman"/>
          <w:i/>
          <w:iCs/>
          <w:color w:val="404040"/>
        </w:rPr>
      </w:pPr>
    </w:p>
    <w:p w14:paraId="7714125E" w14:textId="77777777" w:rsidR="009F183A" w:rsidRPr="006E6C6A" w:rsidRDefault="009F183A" w:rsidP="0064398F">
      <w:pPr>
        <w:spacing w:after="120" w:line="240" w:lineRule="auto"/>
        <w:ind w:firstLine="709"/>
        <w:jc w:val="right"/>
        <w:rPr>
          <w:rFonts w:ascii="Times New Roman" w:hAnsi="Times New Roman" w:cs="Times New Roman"/>
          <w:i/>
          <w:iCs/>
          <w:color w:val="404040"/>
        </w:rPr>
      </w:pPr>
    </w:p>
    <w:p w14:paraId="7AD5606F" w14:textId="15E60D60" w:rsidR="00F74FCD" w:rsidRDefault="00F74FCD" w:rsidP="00F74FCD">
      <w:pPr>
        <w:spacing w:after="0" w:line="360" w:lineRule="auto"/>
        <w:ind w:left="-284" w:firstLine="567"/>
        <w:jc w:val="center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 </w:t>
      </w:r>
      <w:r w:rsidRPr="00F74FCD">
        <w:rPr>
          <w:rFonts w:ascii="Times New Roman" w:eastAsiaTheme="minorHAnsi" w:hAnsi="Times New Roman" w:cs="Times New Roman"/>
          <w:b/>
          <w:sz w:val="24"/>
          <w:szCs w:val="24"/>
        </w:rPr>
        <w:t>«Основы депозитарной деятельности»</w:t>
      </w:r>
    </w:p>
    <w:p w14:paraId="38D57A2F" w14:textId="77777777" w:rsidR="00726EC5" w:rsidRPr="00F74FCD" w:rsidRDefault="00726EC5" w:rsidP="00F74FCD">
      <w:pPr>
        <w:spacing w:after="0" w:line="360" w:lineRule="auto"/>
        <w:ind w:left="-284" w:firstLine="567"/>
        <w:jc w:val="center"/>
        <w:rPr>
          <w:rFonts w:ascii="Times New Roman" w:eastAsiaTheme="minorHAnsi" w:hAnsi="Times New Roman" w:cs="Times New Roman"/>
          <w:sz w:val="24"/>
          <w:szCs w:val="24"/>
        </w:rPr>
      </w:pPr>
    </w:p>
    <w:p w14:paraId="66E183E0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Программа вебинара:</w:t>
      </w:r>
    </w:p>
    <w:p w14:paraId="748D0476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 xml:space="preserve">Общее понятие о ценных бумагах. Виды ценных бумаг. </w:t>
      </w:r>
      <w:proofErr w:type="spellStart"/>
      <w:r w:rsidRPr="00F74FCD">
        <w:rPr>
          <w:rFonts w:ascii="Times New Roman" w:eastAsiaTheme="minorHAnsi" w:hAnsi="Times New Roman" w:cs="Times New Roman"/>
          <w:sz w:val="24"/>
          <w:szCs w:val="24"/>
        </w:rPr>
        <w:t>Легитимизационные</w:t>
      </w:r>
      <w:proofErr w:type="spellEnd"/>
      <w:r w:rsidRPr="00F74FCD">
        <w:rPr>
          <w:rFonts w:ascii="Times New Roman" w:eastAsiaTheme="minorHAnsi" w:hAnsi="Times New Roman" w:cs="Times New Roman"/>
          <w:sz w:val="24"/>
          <w:szCs w:val="24"/>
        </w:rPr>
        <w:t xml:space="preserve"> знаки. Что такое секьюритизация</w:t>
      </w:r>
      <w:r w:rsidRPr="00F74FCD">
        <w:rPr>
          <w:rFonts w:ascii="Times New Roman" w:eastAsiaTheme="minorHAnsi" w:hAnsi="Times New Roman" w:cs="Times New Roman"/>
          <w:sz w:val="24"/>
          <w:szCs w:val="24"/>
          <w:lang w:val="en-US"/>
        </w:rPr>
        <w:t>?</w:t>
      </w:r>
    </w:p>
    <w:p w14:paraId="60F105C5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 xml:space="preserve">Классификация ценных бумаг: </w:t>
      </w:r>
    </w:p>
    <w:p w14:paraId="19774DC8" w14:textId="77777777" w:rsidR="00F74FCD" w:rsidRPr="00F74FCD" w:rsidRDefault="00F74FCD" w:rsidP="00F74FC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ind w:left="-284" w:right="-143" w:firstLine="567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эмиссионные и неэмиссионные;</w:t>
      </w:r>
    </w:p>
    <w:p w14:paraId="10EFA4C3" w14:textId="77777777" w:rsidR="00F74FCD" w:rsidRPr="00F74FCD" w:rsidRDefault="00F74FCD" w:rsidP="00F74FC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ind w:left="-284" w:right="-143" w:firstLine="567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документарные - бездокументарные;</w:t>
      </w:r>
    </w:p>
    <w:p w14:paraId="54907BAB" w14:textId="77777777" w:rsidR="00F74FCD" w:rsidRPr="00F74FCD" w:rsidRDefault="00F74FCD" w:rsidP="00F74FCD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ind w:left="-284" w:right="-143" w:firstLine="567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наличные – безналичные.</w:t>
      </w:r>
    </w:p>
    <w:p w14:paraId="45E53D1E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Права на бумагу и права из бумаги.</w:t>
      </w:r>
    </w:p>
    <w:p w14:paraId="06667441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Сертификаты ценных бумаг.</w:t>
      </w:r>
    </w:p>
    <w:p w14:paraId="2386989D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Три с половиной способа удостоверения прав на ценные бумаги в России.</w:t>
      </w:r>
    </w:p>
    <w:p w14:paraId="7D997EF2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Этапы сделок с ценными бумагами.</w:t>
      </w:r>
    </w:p>
    <w:p w14:paraId="04A807CC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Сказка о первом депозитарии.</w:t>
      </w:r>
    </w:p>
    <w:p w14:paraId="3D3FD694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Основные функции депозитариев на рынке ценных бумаг.</w:t>
      </w:r>
    </w:p>
    <w:p w14:paraId="5517D1D1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 xml:space="preserve">Чего НЕ делает депозитарий. </w:t>
      </w:r>
    </w:p>
    <w:p w14:paraId="0DD927E7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Переход прав собственности на ценные бумаги.</w:t>
      </w:r>
    </w:p>
    <w:p w14:paraId="5EDC8EC0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Обездвиживание и дематериализация: переход обращения ценных бумаг из наличной в безналичную форму.</w:t>
      </w:r>
    </w:p>
    <w:p w14:paraId="4E5D40AE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Виды депозитариев:</w:t>
      </w:r>
    </w:p>
    <w:p w14:paraId="6A872063" w14:textId="77777777" w:rsidR="00F74FCD" w:rsidRPr="00F74FCD" w:rsidRDefault="00F74FCD" w:rsidP="00F74FCD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360" w:lineRule="auto"/>
        <w:ind w:left="-284" w:right="-143" w:firstLine="567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центральный депозитарий;</w:t>
      </w:r>
    </w:p>
    <w:p w14:paraId="5CF25340" w14:textId="77777777" w:rsidR="00F74FCD" w:rsidRPr="00F74FCD" w:rsidRDefault="00F74FCD" w:rsidP="00F74FCD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360" w:lineRule="auto"/>
        <w:ind w:left="-284" w:right="-143" w:firstLine="567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расчетные;</w:t>
      </w:r>
    </w:p>
    <w:p w14:paraId="57709D8F" w14:textId="77777777" w:rsidR="00F74FCD" w:rsidRPr="00F74FCD" w:rsidRDefault="00F74FCD" w:rsidP="00F74FCD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360" w:lineRule="auto"/>
        <w:ind w:left="-284" w:right="-143" w:firstLine="567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</w:rPr>
      </w:pPr>
      <w:proofErr w:type="spellStart"/>
      <w:r w:rsidRPr="00F74FCD">
        <w:rPr>
          <w:rFonts w:ascii="Times New Roman" w:eastAsiaTheme="minorHAnsi" w:hAnsi="Times New Roman" w:cs="Times New Roman"/>
          <w:sz w:val="24"/>
          <w:szCs w:val="24"/>
        </w:rPr>
        <w:t>кастодиальные</w:t>
      </w:r>
      <w:proofErr w:type="spellEnd"/>
      <w:r w:rsidRPr="00F74FCD">
        <w:rPr>
          <w:rFonts w:ascii="Times New Roman" w:eastAsiaTheme="minorHAnsi" w:hAnsi="Times New Roman" w:cs="Times New Roman"/>
          <w:sz w:val="24"/>
          <w:szCs w:val="24"/>
        </w:rPr>
        <w:t>;</w:t>
      </w:r>
    </w:p>
    <w:p w14:paraId="16595297" w14:textId="77777777" w:rsidR="00F74FCD" w:rsidRPr="00F74FCD" w:rsidRDefault="00F74FCD" w:rsidP="00F74FCD">
      <w:pPr>
        <w:numPr>
          <w:ilvl w:val="1"/>
          <w:numId w:val="5"/>
        </w:numPr>
        <w:overflowPunct w:val="0"/>
        <w:autoSpaceDE w:val="0"/>
        <w:autoSpaceDN w:val="0"/>
        <w:adjustRightInd w:val="0"/>
        <w:spacing w:after="0" w:line="360" w:lineRule="auto"/>
        <w:ind w:left="-284" w:right="-143" w:firstLine="567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банковские</w:t>
      </w:r>
    </w:p>
    <w:p w14:paraId="7BC223F3" w14:textId="77777777" w:rsidR="00F74FCD" w:rsidRPr="00F74FCD" w:rsidRDefault="00F74FCD" w:rsidP="00F74FCD">
      <w:pPr>
        <w:numPr>
          <w:ilvl w:val="1"/>
          <w:numId w:val="5"/>
        </w:numPr>
        <w:overflowPunct w:val="0"/>
        <w:autoSpaceDE w:val="0"/>
        <w:autoSpaceDN w:val="0"/>
        <w:adjustRightInd w:val="0"/>
        <w:spacing w:after="0" w:line="360" w:lineRule="auto"/>
        <w:ind w:left="-284" w:right="-143" w:firstLine="567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брокерские;</w:t>
      </w:r>
    </w:p>
    <w:p w14:paraId="61EA0AD9" w14:textId="77777777" w:rsidR="00F74FCD" w:rsidRPr="00F74FCD" w:rsidRDefault="00F74FCD" w:rsidP="00F74FCD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360" w:lineRule="auto"/>
        <w:ind w:left="-284" w:right="-143" w:firstLine="567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спецдепозитарии;</w:t>
      </w:r>
    </w:p>
    <w:p w14:paraId="6AAF247C" w14:textId="77777777" w:rsidR="00F74FCD" w:rsidRPr="00F74FCD" w:rsidRDefault="00F74FCD" w:rsidP="00F74FCD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360" w:lineRule="auto"/>
        <w:ind w:left="-284" w:right="-143" w:firstLine="567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регистраторы</w:t>
      </w:r>
      <w:r w:rsidRPr="00F74FCD">
        <w:rPr>
          <w:rFonts w:ascii="Times New Roman" w:eastAsiaTheme="minorHAnsi" w:hAnsi="Times New Roman" w:cs="Times New Roman"/>
          <w:sz w:val="24"/>
          <w:szCs w:val="24"/>
          <w:lang w:val="en-US"/>
        </w:rPr>
        <w:t>;</w:t>
      </w:r>
    </w:p>
    <w:p w14:paraId="5C179A56" w14:textId="77777777" w:rsidR="00F74FCD" w:rsidRPr="00F74FCD" w:rsidRDefault="00F74FCD" w:rsidP="00F74FCD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360" w:lineRule="auto"/>
        <w:ind w:left="-284" w:right="-143" w:firstLine="567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другие.</w:t>
      </w:r>
    </w:p>
    <w:p w14:paraId="1088C7A9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 xml:space="preserve">Особенности спецдепозитариев. </w:t>
      </w:r>
    </w:p>
    <w:p w14:paraId="6A605FE1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 xml:space="preserve">Регистраторы и номинальные держатели. Иностранные </w:t>
      </w:r>
      <w:proofErr w:type="spellStart"/>
      <w:r w:rsidRPr="00F74FCD">
        <w:rPr>
          <w:rFonts w:ascii="Times New Roman" w:eastAsiaTheme="minorHAnsi" w:hAnsi="Times New Roman" w:cs="Times New Roman"/>
          <w:sz w:val="24"/>
          <w:szCs w:val="24"/>
        </w:rPr>
        <w:t>номини</w:t>
      </w:r>
      <w:proofErr w:type="spellEnd"/>
      <w:r w:rsidRPr="00F74FCD">
        <w:rPr>
          <w:rFonts w:ascii="Times New Roman" w:eastAsiaTheme="minorHAnsi" w:hAnsi="Times New Roman" w:cs="Times New Roman"/>
          <w:sz w:val="24"/>
          <w:szCs w:val="24"/>
        </w:rPr>
        <w:t>.</w:t>
      </w:r>
    </w:p>
    <w:p w14:paraId="0E4B3181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lastRenderedPageBreak/>
        <w:t xml:space="preserve">Что такое </w:t>
      </w:r>
      <w:r w:rsidRPr="00F74FCD">
        <w:rPr>
          <w:rFonts w:ascii="Times New Roman" w:eastAsiaTheme="minorHAnsi" w:hAnsi="Times New Roman" w:cs="Times New Roman"/>
          <w:sz w:val="24"/>
          <w:szCs w:val="24"/>
          <w:lang w:val="en-US"/>
        </w:rPr>
        <w:t>DVP</w:t>
      </w:r>
      <w:r w:rsidRPr="00F74FCD">
        <w:rPr>
          <w:rFonts w:ascii="Times New Roman" w:eastAsiaTheme="minorHAnsi" w:hAnsi="Times New Roman" w:cs="Times New Roman"/>
          <w:sz w:val="24"/>
          <w:szCs w:val="24"/>
        </w:rPr>
        <w:t xml:space="preserve"> 1-3?</w:t>
      </w:r>
    </w:p>
    <w:p w14:paraId="75B6D184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Момент перехода права собственности.</w:t>
      </w:r>
    </w:p>
    <w:p w14:paraId="0190A2E1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 xml:space="preserve">Что такое клиринг и для чего нужен </w:t>
      </w:r>
      <w:r w:rsidRPr="00F74FCD">
        <w:rPr>
          <w:rFonts w:ascii="Times New Roman" w:eastAsiaTheme="minorHAnsi" w:hAnsi="Times New Roman" w:cs="Times New Roman"/>
          <w:sz w:val="24"/>
          <w:szCs w:val="24"/>
          <w:lang w:val="en-US"/>
        </w:rPr>
        <w:t>CCP</w:t>
      </w:r>
      <w:r w:rsidRPr="00F74FCD">
        <w:rPr>
          <w:rFonts w:ascii="Times New Roman" w:eastAsiaTheme="minorHAnsi" w:hAnsi="Times New Roman" w:cs="Times New Roman"/>
          <w:sz w:val="24"/>
          <w:szCs w:val="24"/>
        </w:rPr>
        <w:t>?</w:t>
      </w:r>
    </w:p>
    <w:p w14:paraId="24C530D6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Как организован депозитарный учет: счета, разделы, актив, пассив?</w:t>
      </w:r>
    </w:p>
    <w:p w14:paraId="3BEF43D5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Депозитарный учет иностранных ценных бумаг с иностранными ценными бумагами.</w:t>
      </w:r>
    </w:p>
    <w:p w14:paraId="650A094C" w14:textId="77AF0B44" w:rsidR="00F74FCD" w:rsidRPr="001B3BAC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proofErr w:type="spellStart"/>
      <w:r w:rsidRPr="00F74FCD">
        <w:rPr>
          <w:rFonts w:ascii="Times New Roman" w:eastAsiaTheme="minorHAnsi" w:hAnsi="Times New Roman" w:cs="Times New Roman"/>
          <w:sz w:val="24"/>
          <w:szCs w:val="24"/>
        </w:rPr>
        <w:t>Евроклир</w:t>
      </w:r>
      <w:proofErr w:type="spellEnd"/>
      <w:r w:rsidRPr="00F74FCD">
        <w:rPr>
          <w:rFonts w:ascii="Times New Roman" w:eastAsiaTheme="minorHAnsi" w:hAnsi="Times New Roman" w:cs="Times New Roman"/>
          <w:sz w:val="24"/>
          <w:szCs w:val="24"/>
        </w:rPr>
        <w:t xml:space="preserve"> и </w:t>
      </w:r>
      <w:proofErr w:type="spellStart"/>
      <w:r w:rsidRPr="00F74FCD">
        <w:rPr>
          <w:rFonts w:ascii="Times New Roman" w:eastAsiaTheme="minorHAnsi" w:hAnsi="Times New Roman" w:cs="Times New Roman"/>
          <w:sz w:val="24"/>
          <w:szCs w:val="24"/>
        </w:rPr>
        <w:t>Клирстрим</w:t>
      </w:r>
      <w:proofErr w:type="spellEnd"/>
      <w:r w:rsidRPr="00F74FCD">
        <w:rPr>
          <w:rFonts w:ascii="Times New Roman" w:eastAsiaTheme="minorHAnsi" w:hAnsi="Times New Roman" w:cs="Times New Roman"/>
          <w:sz w:val="24"/>
          <w:szCs w:val="24"/>
        </w:rPr>
        <w:t xml:space="preserve">, виды центральных депозитариев, </w:t>
      </w:r>
      <w:r w:rsidRPr="00F74FCD">
        <w:rPr>
          <w:rFonts w:ascii="Times New Roman" w:eastAsiaTheme="minorHAnsi" w:hAnsi="Times New Roman" w:cs="Times New Roman"/>
          <w:sz w:val="24"/>
          <w:szCs w:val="24"/>
          <w:lang w:val="en-US"/>
        </w:rPr>
        <w:t>T</w:t>
      </w:r>
      <w:r w:rsidRPr="00F74FCD">
        <w:rPr>
          <w:rFonts w:ascii="Times New Roman" w:eastAsiaTheme="minorHAnsi" w:hAnsi="Times New Roman" w:cs="Times New Roman"/>
          <w:sz w:val="24"/>
          <w:szCs w:val="24"/>
        </w:rPr>
        <w:t>2</w:t>
      </w:r>
      <w:r w:rsidRPr="00F74FCD">
        <w:rPr>
          <w:rFonts w:ascii="Times New Roman" w:eastAsiaTheme="minorHAnsi" w:hAnsi="Times New Roman" w:cs="Times New Roman"/>
          <w:sz w:val="24"/>
          <w:szCs w:val="24"/>
          <w:lang w:val="en-US"/>
        </w:rPr>
        <w:t>S</w:t>
      </w:r>
      <w:r w:rsidR="001B3BAC">
        <w:rPr>
          <w:rFonts w:ascii="Times New Roman" w:eastAsiaTheme="minorHAnsi" w:hAnsi="Times New Roman" w:cs="Times New Roman"/>
          <w:sz w:val="24"/>
          <w:szCs w:val="24"/>
        </w:rPr>
        <w:t>.</w:t>
      </w:r>
    </w:p>
    <w:p w14:paraId="4D1392B5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История создания современной российской учетной системы.</w:t>
      </w:r>
    </w:p>
    <w:p w14:paraId="02F00B64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Что такое «реформа корпоративных действий»?</w:t>
      </w:r>
    </w:p>
    <w:p w14:paraId="4DF1A271" w14:textId="77777777" w:rsidR="00F74FCD" w:rsidRPr="00F74FCD" w:rsidRDefault="00F74FCD" w:rsidP="00F74FCD">
      <w:pPr>
        <w:spacing w:after="0" w:line="360" w:lineRule="auto"/>
        <w:ind w:left="-284" w:right="-143"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74FCD">
        <w:rPr>
          <w:rFonts w:ascii="Times New Roman" w:eastAsiaTheme="minorHAnsi" w:hAnsi="Times New Roman" w:cs="Times New Roman"/>
          <w:sz w:val="24"/>
          <w:szCs w:val="24"/>
        </w:rPr>
        <w:t>Перспективы развития российской учетной системы.</w:t>
      </w:r>
    </w:p>
    <w:p w14:paraId="3AD945A3" w14:textId="49F19BD9" w:rsidR="00D0551F" w:rsidRPr="00D0551F" w:rsidRDefault="00D0551F" w:rsidP="00D0551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</w:p>
    <w:sectPr w:rsidR="00D0551F" w:rsidRPr="00D0551F" w:rsidSect="00DB6976">
      <w:footerReference w:type="default" r:id="rId7"/>
      <w:headerReference w:type="first" r:id="rId8"/>
      <w:footerReference w:type="first" r:id="rId9"/>
      <w:pgSz w:w="11906" w:h="16838"/>
      <w:pgMar w:top="899" w:right="850" w:bottom="1134" w:left="12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6ECE3" w14:textId="77777777" w:rsidR="003E1D70" w:rsidRDefault="003E1D70" w:rsidP="00846298">
      <w:pPr>
        <w:spacing w:after="0" w:line="240" w:lineRule="auto"/>
      </w:pPr>
      <w:r>
        <w:separator/>
      </w:r>
    </w:p>
  </w:endnote>
  <w:endnote w:type="continuationSeparator" w:id="0">
    <w:p w14:paraId="6FE2DFB8" w14:textId="77777777" w:rsidR="003E1D70" w:rsidRDefault="003E1D70" w:rsidP="00846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rporateA">
    <w:altName w:val="Cambria"/>
    <w:panose1 w:val="00000000000000000000"/>
    <w:charset w:val="00"/>
    <w:family w:val="roman"/>
    <w:notTrueType/>
    <w:pitch w:val="variable"/>
    <w:sig w:usb0="A00002AF" w:usb1="5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6104A" w14:textId="32FC55C4" w:rsidR="009F183A" w:rsidRDefault="00D0551F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67195CD" wp14:editId="6B5EE822">
          <wp:simplePos x="0" y="0"/>
          <wp:positionH relativeFrom="column">
            <wp:posOffset>-800100</wp:posOffset>
          </wp:positionH>
          <wp:positionV relativeFrom="paragraph">
            <wp:posOffset>-601980</wp:posOffset>
          </wp:positionV>
          <wp:extent cx="7548880" cy="1207135"/>
          <wp:effectExtent l="0" t="0" r="0" b="0"/>
          <wp:wrapNone/>
          <wp:docPr id="18" name="Рисунок 1" descr="Изображение выглядит как текст, Шрифт, снимок экрана, белый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Изображение выглядит как текст, Шрифт, снимок экрана, белый&#10;&#10;Автоматически созданное описание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207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0444F9DD" wp14:editId="1A79FA00">
          <wp:simplePos x="0" y="0"/>
          <wp:positionH relativeFrom="page">
            <wp:posOffset>0</wp:posOffset>
          </wp:positionH>
          <wp:positionV relativeFrom="paragraph">
            <wp:posOffset>9763125</wp:posOffset>
          </wp:positionV>
          <wp:extent cx="7930515" cy="1083310"/>
          <wp:effectExtent l="0" t="0" r="0" b="0"/>
          <wp:wrapNone/>
          <wp:docPr id="3" name="Рисунок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0515" cy="1083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2BE97" w14:textId="43FD8CF1" w:rsidR="00DB6976" w:rsidRDefault="00D0551F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72D7E99" wp14:editId="6E4ABB3A">
          <wp:simplePos x="0" y="0"/>
          <wp:positionH relativeFrom="column">
            <wp:posOffset>-800100</wp:posOffset>
          </wp:positionH>
          <wp:positionV relativeFrom="paragraph">
            <wp:posOffset>-408940</wp:posOffset>
          </wp:positionV>
          <wp:extent cx="7562850" cy="1009650"/>
          <wp:effectExtent l="0" t="0" r="0" b="0"/>
          <wp:wrapNone/>
          <wp:docPr id="1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D54A3" w14:textId="77777777" w:rsidR="003E1D70" w:rsidRDefault="003E1D70" w:rsidP="00846298">
      <w:pPr>
        <w:spacing w:after="0" w:line="240" w:lineRule="auto"/>
      </w:pPr>
      <w:r>
        <w:separator/>
      </w:r>
    </w:p>
  </w:footnote>
  <w:footnote w:type="continuationSeparator" w:id="0">
    <w:p w14:paraId="636605E5" w14:textId="77777777" w:rsidR="003E1D70" w:rsidRDefault="003E1D70" w:rsidP="008462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B2EE2" w14:textId="56022751" w:rsidR="00F74381" w:rsidRDefault="00D0551F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 wp14:anchorId="1B2ADACD" wp14:editId="3ED394D9">
          <wp:simplePos x="0" y="0"/>
          <wp:positionH relativeFrom="column">
            <wp:posOffset>-819150</wp:posOffset>
          </wp:positionH>
          <wp:positionV relativeFrom="paragraph">
            <wp:posOffset>-440690</wp:posOffset>
          </wp:positionV>
          <wp:extent cx="7562850" cy="1428750"/>
          <wp:effectExtent l="0" t="0" r="0" b="0"/>
          <wp:wrapNone/>
          <wp:docPr id="1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428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39111C"/>
    <w:multiLevelType w:val="hybridMultilevel"/>
    <w:tmpl w:val="15FE1938"/>
    <w:lvl w:ilvl="0" w:tplc="DF822E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F822EF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D128B2"/>
    <w:multiLevelType w:val="hybridMultilevel"/>
    <w:tmpl w:val="D11A6A38"/>
    <w:lvl w:ilvl="0" w:tplc="6C08CF82">
      <w:start w:val="1"/>
      <w:numFmt w:val="decimal"/>
      <w:lvlText w:val="%1."/>
      <w:lvlJc w:val="left"/>
      <w:pPr>
        <w:ind w:left="1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FCE45D6">
      <w:start w:val="1"/>
      <w:numFmt w:val="lowerLetter"/>
      <w:lvlText w:val="%2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3764FB2">
      <w:start w:val="1"/>
      <w:numFmt w:val="lowerRoman"/>
      <w:lvlText w:val="%3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978133A">
      <w:start w:val="1"/>
      <w:numFmt w:val="decimal"/>
      <w:lvlText w:val="%4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F5FEAC4E">
      <w:start w:val="1"/>
      <w:numFmt w:val="lowerLetter"/>
      <w:lvlText w:val="%5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ADEADF2">
      <w:start w:val="1"/>
      <w:numFmt w:val="lowerRoman"/>
      <w:lvlText w:val="%6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5488510">
      <w:start w:val="1"/>
      <w:numFmt w:val="decimal"/>
      <w:lvlText w:val="%7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24900FF6">
      <w:start w:val="1"/>
      <w:numFmt w:val="lowerLetter"/>
      <w:lvlText w:val="%8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8629656">
      <w:start w:val="1"/>
      <w:numFmt w:val="lowerRoman"/>
      <w:lvlText w:val="%9"/>
      <w:lvlJc w:val="left"/>
      <w:pPr>
        <w:ind w:left="6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00C536B"/>
    <w:multiLevelType w:val="hybridMultilevel"/>
    <w:tmpl w:val="FF9C9930"/>
    <w:lvl w:ilvl="0" w:tplc="DF822E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4C6B29"/>
    <w:multiLevelType w:val="hybridMultilevel"/>
    <w:tmpl w:val="97F28774"/>
    <w:lvl w:ilvl="0" w:tplc="10FCD2BA">
      <w:start w:val="4"/>
      <w:numFmt w:val="decimal"/>
      <w:lvlText w:val="%1."/>
      <w:lvlJc w:val="left"/>
      <w:pPr>
        <w:ind w:left="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AAA62A76">
      <w:start w:val="1"/>
      <w:numFmt w:val="lowerLetter"/>
      <w:lvlText w:val="%2"/>
      <w:lvlJc w:val="left"/>
      <w:pPr>
        <w:ind w:left="1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61A68658">
      <w:start w:val="1"/>
      <w:numFmt w:val="lowerRoman"/>
      <w:lvlText w:val="%3"/>
      <w:lvlJc w:val="left"/>
      <w:pPr>
        <w:ind w:left="2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45403F8C">
      <w:start w:val="1"/>
      <w:numFmt w:val="decimal"/>
      <w:lvlText w:val="%4"/>
      <w:lvlJc w:val="left"/>
      <w:pPr>
        <w:ind w:left="3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D048F0C">
      <w:start w:val="1"/>
      <w:numFmt w:val="lowerLetter"/>
      <w:lvlText w:val="%5"/>
      <w:lvlJc w:val="left"/>
      <w:pPr>
        <w:ind w:left="3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2F18353E">
      <w:start w:val="1"/>
      <w:numFmt w:val="lowerRoman"/>
      <w:lvlText w:val="%6"/>
      <w:lvlJc w:val="left"/>
      <w:pPr>
        <w:ind w:left="4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3AA808C">
      <w:start w:val="1"/>
      <w:numFmt w:val="decimal"/>
      <w:lvlText w:val="%7"/>
      <w:lvlJc w:val="left"/>
      <w:pPr>
        <w:ind w:left="5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BD061A8">
      <w:start w:val="1"/>
      <w:numFmt w:val="lowerLetter"/>
      <w:lvlText w:val="%8"/>
      <w:lvlJc w:val="left"/>
      <w:pPr>
        <w:ind w:left="6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D8A4BFFA">
      <w:start w:val="1"/>
      <w:numFmt w:val="lowerRoman"/>
      <w:lvlText w:val="%9"/>
      <w:lvlJc w:val="left"/>
      <w:pPr>
        <w:ind w:left="6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D1E402A"/>
    <w:multiLevelType w:val="hybridMultilevel"/>
    <w:tmpl w:val="A030C3D2"/>
    <w:lvl w:ilvl="0" w:tplc="DF822E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3254934">
    <w:abstractNumId w:val="1"/>
  </w:num>
  <w:num w:numId="2" w16cid:durableId="384066917">
    <w:abstractNumId w:val="3"/>
  </w:num>
  <w:num w:numId="3" w16cid:durableId="903370466">
    <w:abstractNumId w:val="4"/>
  </w:num>
  <w:num w:numId="4" w16cid:durableId="1541165638">
    <w:abstractNumId w:val="2"/>
  </w:num>
  <w:num w:numId="5" w16cid:durableId="558051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298"/>
    <w:rsid w:val="000558AD"/>
    <w:rsid w:val="000938D4"/>
    <w:rsid w:val="000C6AD9"/>
    <w:rsid w:val="000E47CA"/>
    <w:rsid w:val="00140586"/>
    <w:rsid w:val="001B3BAC"/>
    <w:rsid w:val="002177BF"/>
    <w:rsid w:val="00272407"/>
    <w:rsid w:val="0029262F"/>
    <w:rsid w:val="002F5132"/>
    <w:rsid w:val="00370924"/>
    <w:rsid w:val="003B4723"/>
    <w:rsid w:val="003E1D70"/>
    <w:rsid w:val="00404C19"/>
    <w:rsid w:val="004D19BA"/>
    <w:rsid w:val="004F683C"/>
    <w:rsid w:val="00561A78"/>
    <w:rsid w:val="00582D5C"/>
    <w:rsid w:val="00585F2B"/>
    <w:rsid w:val="0061534A"/>
    <w:rsid w:val="0064398F"/>
    <w:rsid w:val="006474FA"/>
    <w:rsid w:val="006D3D75"/>
    <w:rsid w:val="006E1EBF"/>
    <w:rsid w:val="006E2E51"/>
    <w:rsid w:val="006E6C6A"/>
    <w:rsid w:val="00726EC5"/>
    <w:rsid w:val="00732CA2"/>
    <w:rsid w:val="00776CE6"/>
    <w:rsid w:val="00797269"/>
    <w:rsid w:val="007D28B6"/>
    <w:rsid w:val="00806835"/>
    <w:rsid w:val="00846298"/>
    <w:rsid w:val="00850AEC"/>
    <w:rsid w:val="0088465F"/>
    <w:rsid w:val="00895748"/>
    <w:rsid w:val="008A2119"/>
    <w:rsid w:val="008A6288"/>
    <w:rsid w:val="008C1C9F"/>
    <w:rsid w:val="008E0498"/>
    <w:rsid w:val="00904125"/>
    <w:rsid w:val="009242B4"/>
    <w:rsid w:val="00937A71"/>
    <w:rsid w:val="00954B67"/>
    <w:rsid w:val="00972894"/>
    <w:rsid w:val="00991C81"/>
    <w:rsid w:val="009B47F6"/>
    <w:rsid w:val="009D0DCD"/>
    <w:rsid w:val="009F183A"/>
    <w:rsid w:val="00A30CCB"/>
    <w:rsid w:val="00A8136F"/>
    <w:rsid w:val="00AA38EF"/>
    <w:rsid w:val="00AE3E14"/>
    <w:rsid w:val="00B10920"/>
    <w:rsid w:val="00B23FB1"/>
    <w:rsid w:val="00B30F32"/>
    <w:rsid w:val="00B5132E"/>
    <w:rsid w:val="00B6660A"/>
    <w:rsid w:val="00BA79CF"/>
    <w:rsid w:val="00C24798"/>
    <w:rsid w:val="00C7195E"/>
    <w:rsid w:val="00C83C95"/>
    <w:rsid w:val="00C86FFD"/>
    <w:rsid w:val="00CE76DC"/>
    <w:rsid w:val="00D0551F"/>
    <w:rsid w:val="00D26601"/>
    <w:rsid w:val="00D8256A"/>
    <w:rsid w:val="00DA4660"/>
    <w:rsid w:val="00DB6976"/>
    <w:rsid w:val="00DF212D"/>
    <w:rsid w:val="00E279C3"/>
    <w:rsid w:val="00F20D54"/>
    <w:rsid w:val="00F5593B"/>
    <w:rsid w:val="00F74381"/>
    <w:rsid w:val="00F74FCD"/>
    <w:rsid w:val="00FA4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E84DF88"/>
  <w15:chartTrackingRefBased/>
  <w15:docId w15:val="{E515D9D5-DC43-4B33-8230-DCF71CECB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6CE6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46298"/>
    <w:pPr>
      <w:keepNext/>
      <w:keepLines/>
      <w:spacing w:before="240" w:after="0"/>
      <w:outlineLvl w:val="0"/>
    </w:pPr>
    <w:rPr>
      <w:rFonts w:ascii="Calibri Light" w:hAnsi="Calibri Light" w:cs="Calibri Light"/>
      <w:color w:val="2F5496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46298"/>
    <w:rPr>
      <w:rFonts w:ascii="Calibri Light" w:hAnsi="Calibri Light" w:cs="Calibri Light"/>
      <w:color w:val="2F5496"/>
      <w:sz w:val="32"/>
      <w:szCs w:val="32"/>
    </w:rPr>
  </w:style>
  <w:style w:type="paragraph" w:styleId="a3">
    <w:name w:val="header"/>
    <w:basedOn w:val="a"/>
    <w:link w:val="a4"/>
    <w:uiPriority w:val="99"/>
    <w:rsid w:val="00846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846298"/>
  </w:style>
  <w:style w:type="paragraph" w:styleId="a5">
    <w:name w:val="footer"/>
    <w:basedOn w:val="a"/>
    <w:link w:val="a6"/>
    <w:uiPriority w:val="99"/>
    <w:rsid w:val="00846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846298"/>
  </w:style>
  <w:style w:type="paragraph" w:styleId="a7">
    <w:name w:val="No Spacing"/>
    <w:uiPriority w:val="99"/>
    <w:qFormat/>
    <w:rsid w:val="00DF212D"/>
    <w:rPr>
      <w:rFonts w:cs="Calibri"/>
      <w:sz w:val="22"/>
      <w:szCs w:val="22"/>
      <w:lang w:eastAsia="en-US"/>
    </w:rPr>
  </w:style>
  <w:style w:type="character" w:styleId="a8">
    <w:name w:val="Hyperlink"/>
    <w:uiPriority w:val="99"/>
    <w:rsid w:val="0064398F"/>
    <w:rPr>
      <w:color w:val="auto"/>
      <w:u w:val="single"/>
    </w:rPr>
  </w:style>
  <w:style w:type="character" w:customStyle="1" w:styleId="11">
    <w:name w:val="Упомянуть1"/>
    <w:uiPriority w:val="99"/>
    <w:semiHidden/>
    <w:rsid w:val="0064398F"/>
    <w:rPr>
      <w:color w:val="auto"/>
      <w:shd w:val="clear" w:color="auto" w:fill="auto"/>
    </w:rPr>
  </w:style>
  <w:style w:type="paragraph" w:customStyle="1" w:styleId="2">
    <w:name w:val="Знак Знак2"/>
    <w:basedOn w:val="a"/>
    <w:uiPriority w:val="99"/>
    <w:rsid w:val="009D0DC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9">
    <w:name w:val="Знак Знак"/>
    <w:basedOn w:val="a"/>
    <w:uiPriority w:val="99"/>
    <w:rsid w:val="006E6C6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2">
    <w:name w:val="Основной текст1"/>
    <w:basedOn w:val="a"/>
    <w:link w:val="Bodytext"/>
    <w:uiPriority w:val="99"/>
    <w:rsid w:val="006E6C6A"/>
    <w:pPr>
      <w:spacing w:after="0" w:line="240" w:lineRule="auto"/>
      <w:ind w:firstLine="567"/>
      <w:jc w:val="both"/>
    </w:pPr>
    <w:rPr>
      <w:rFonts w:cs="Times New Roman"/>
      <w:sz w:val="24"/>
      <w:szCs w:val="24"/>
      <w:lang w:eastAsia="ru-RU"/>
    </w:rPr>
  </w:style>
  <w:style w:type="character" w:customStyle="1" w:styleId="Bodytext">
    <w:name w:val="Body text Знак"/>
    <w:link w:val="12"/>
    <w:uiPriority w:val="99"/>
    <w:locked/>
    <w:rsid w:val="006E6C6A"/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204</Words>
  <Characters>1163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СРО НФА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</dc:creator>
  <cp:keywords/>
  <dc:description/>
  <cp:lastModifiedBy>Анна Смирнова</cp:lastModifiedBy>
  <cp:revision>3</cp:revision>
  <cp:lastPrinted>2017-08-21T12:36:00Z</cp:lastPrinted>
  <dcterms:created xsi:type="dcterms:W3CDTF">2024-01-11T13:57:00Z</dcterms:created>
  <dcterms:modified xsi:type="dcterms:W3CDTF">2024-01-11T13:58:00Z</dcterms:modified>
</cp:coreProperties>
</file>