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F1087C" w:rsidRDefault="00F1087C">
      <w:pPr>
        <w:pStyle w:val="1"/>
      </w:pPr>
      <w:r>
        <w:fldChar w:fldCharType="begin"/>
      </w:r>
      <w:r>
        <w:instrText>HYPERLINK "http://internet.garant.ru/document?id=71737598&amp;sub=0"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20 декабря 2017 г. N 397-ФЗ</w:t>
      </w:r>
      <w:r w:rsidR="00E07859" w:rsidRPr="00E07859">
        <w:rPr>
          <w:rStyle w:val="a4"/>
          <w:rFonts w:cs="Times New Roman CYR"/>
          <w:b w:val="0"/>
          <w:bCs w:val="0"/>
        </w:rPr>
        <w:t xml:space="preserve"> </w:t>
      </w:r>
      <w:r>
        <w:rPr>
          <w:rStyle w:val="a4"/>
          <w:rFonts w:cs="Times New Roman CYR"/>
          <w:b w:val="0"/>
          <w:bCs w:val="0"/>
        </w:rPr>
        <w:t>"О внесении изменений в Федеральный закон "О рынке ценных бумаг" и статью 3 Федерального закона "О саморегулируемых организациях в сфере финансового рынка"</w:t>
      </w:r>
      <w:r>
        <w:fldChar w:fldCharType="end"/>
      </w:r>
      <w:bookmarkEnd w:id="0"/>
    </w:p>
    <w:p w:rsidR="00F1087C" w:rsidRDefault="00F1087C"/>
    <w:p w:rsidR="00F1087C" w:rsidRDefault="00F1087C">
      <w:r>
        <w:rPr>
          <w:rStyle w:val="a3"/>
          <w:bCs/>
        </w:rPr>
        <w:t>Принят Государственной Думой 6 декабря 2017 года</w:t>
      </w:r>
    </w:p>
    <w:p w:rsidR="00F1087C" w:rsidRDefault="00F1087C">
      <w:r>
        <w:rPr>
          <w:rStyle w:val="a3"/>
          <w:bCs/>
        </w:rPr>
        <w:t>Одобрен Советом Федерации 15 декабря 2017 года</w:t>
      </w:r>
    </w:p>
    <w:p w:rsidR="00F1087C" w:rsidRDefault="00F1087C"/>
    <w:p w:rsidR="00F1087C" w:rsidRDefault="00F1087C">
      <w:pPr>
        <w:pStyle w:val="a5"/>
      </w:pPr>
      <w:bookmarkStart w:id="1" w:name="sub_1"/>
      <w:r>
        <w:rPr>
          <w:rStyle w:val="a3"/>
          <w:bCs/>
        </w:rPr>
        <w:t>Статья 1</w:t>
      </w:r>
    </w:p>
    <w:bookmarkEnd w:id="1"/>
    <w:p w:rsidR="00F1087C" w:rsidRDefault="00F1087C">
      <w:r>
        <w:t xml:space="preserve">Внести в </w:t>
      </w:r>
      <w:hyperlink r:id="rId5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22 апреля 1996 года N 39-ФЗ "О рынке ценных бумаг" (Собрание законодательства Российской Федерации, 1996, N 17, ст. 1918; 2001, N 33, ст. 3424; 2002, N 52, ст. 5141; 2004, N 31, ст. 3225; 2005, N 11, ст. 900; N 25, ст. 2426; 2006, N 1, ст. 5; N 2, ст. 172; N 17, ст. 1780; N 31, ст. 3437; 2007, N 1, ст. 45; N 22, ст. 2563; N 41, ст. 4845; N 50, ст. 6247, 6249; 2009, N 18, ст. 2154; N 48, ст. 5731; 2010, N 17, ст. 1988; N 31, ст. 4193; N 41, ст. 5193; 2011, N 7, ст. 905; N 23, ст. 3262; N 27, ст. 3873; N 29, ст. 4291; N 48, ст. 6728; N 49, ст. 7040; N 50, ст. 7357; 2012, N 25, ст. 3269; N 53, ст. 7607; 2013, N 26, ст. 3207; N 30, ст. 4084; N 51, ст. 6699; 2014, N 30, ст. 4219; 2015, N 1, ст. 13; N 27, ст. 4001; N 29, ст. 4348, 4357; 2016, N 1, ст. 50; N 27, ст. 4225; 2017, N 25, ст. 3592) следующие изменения:</w:t>
      </w:r>
    </w:p>
    <w:p w:rsidR="00F1087C" w:rsidRDefault="00F1087C">
      <w:bookmarkStart w:id="2" w:name="sub_11"/>
      <w:r>
        <w:t xml:space="preserve">1) </w:t>
      </w:r>
      <w:hyperlink r:id="rId6" w:history="1">
        <w:r>
          <w:rPr>
            <w:rStyle w:val="a4"/>
            <w:rFonts w:cs="Times New Roman CYR"/>
          </w:rPr>
          <w:t>часть восемнадцатую статьи 2</w:t>
        </w:r>
      </w:hyperlink>
      <w:r>
        <w:t xml:space="preserve"> дополнить словами ", а также лица, которые осуществляют деятельность, указанную в статье 6.1 настоящего Федерального закона";</w:t>
      </w:r>
    </w:p>
    <w:p w:rsidR="00F1087C" w:rsidRDefault="00F1087C">
      <w:bookmarkStart w:id="3" w:name="sub_12"/>
      <w:bookmarkEnd w:id="2"/>
      <w:r>
        <w:t xml:space="preserve">2) </w:t>
      </w:r>
      <w:hyperlink r:id="rId7" w:history="1">
        <w:r>
          <w:rPr>
            <w:rStyle w:val="a4"/>
            <w:rFonts w:cs="Times New Roman CYR"/>
          </w:rPr>
          <w:t>статью 3</w:t>
        </w:r>
      </w:hyperlink>
      <w:r>
        <w:t xml:space="preserve"> дополнить </w:t>
      </w:r>
      <w:hyperlink r:id="rId8" w:history="1">
        <w:r>
          <w:rPr>
            <w:rStyle w:val="a4"/>
            <w:rFonts w:cs="Times New Roman CYR"/>
          </w:rPr>
          <w:t>пунктом 9</w:t>
        </w:r>
      </w:hyperlink>
      <w:r>
        <w:t xml:space="preserve"> следующего содержания:</w:t>
      </w:r>
    </w:p>
    <w:p w:rsidR="00F1087C" w:rsidRDefault="00F1087C">
      <w:bookmarkStart w:id="4" w:name="sub_309"/>
      <w:bookmarkEnd w:id="3"/>
      <w:r>
        <w:t>"9. В целях заключения договора о брокерском обслуживании брокер вправе привлекать иное юридическое лицо только на основании договора поручения (далее - поверенный брокера). Брокер несет ответственность за нарушение поверенным брокера законодательства Российской Федерации и нормативных актов Банка России. Условия и порядок привлечения брокером поверенного брокера устанавливаются базовым стандартом, разработанным, согласованным и утвержденным в соответствии с требованиями Федерального закона от 13 июля 2015 года N 223-ФЗ "О саморегулируемых организациях в сфере финансового рынка".";</w:t>
      </w:r>
    </w:p>
    <w:p w:rsidR="00F1087C" w:rsidRDefault="00F1087C">
      <w:bookmarkStart w:id="5" w:name="sub_13"/>
      <w:bookmarkEnd w:id="4"/>
      <w:r>
        <w:t xml:space="preserve">3) </w:t>
      </w:r>
      <w:hyperlink r:id="rId9" w:history="1">
        <w:r>
          <w:rPr>
            <w:rStyle w:val="a4"/>
            <w:rFonts w:cs="Times New Roman CYR"/>
          </w:rPr>
          <w:t>статью 5</w:t>
        </w:r>
      </w:hyperlink>
      <w:r>
        <w:t xml:space="preserve"> дополнить </w:t>
      </w:r>
      <w:hyperlink r:id="rId10" w:history="1">
        <w:r>
          <w:rPr>
            <w:rStyle w:val="a4"/>
            <w:rFonts w:cs="Times New Roman CYR"/>
          </w:rPr>
          <w:t>частью семнадцатой</w:t>
        </w:r>
      </w:hyperlink>
      <w:r>
        <w:t xml:space="preserve"> следующего содержания:</w:t>
      </w:r>
    </w:p>
    <w:p w:rsidR="00F1087C" w:rsidRDefault="00F1087C">
      <w:bookmarkStart w:id="6" w:name="sub_5018"/>
      <w:bookmarkEnd w:id="5"/>
      <w:r>
        <w:t>"В целях заключения договора доверительного управления управляющий вправе привлекать иное юридическое лицо только на основании договора поручения (далее - поверенный управляющего). Управляющий несет ответственность за нарушение поверенным управляющего законодательства Российской Федерации и нормативных актов Банка России. Условия и порядок привлечения управляющим поверенного управляющего устанавливаются базовым стандартом, разработанным, согласованным и утвержденным в соответствии с требованиями Федерального закона от 13 июля 2015 года N 223-ФЗ "О саморегулируемых организациях в сфере финансового рынка".";</w:t>
      </w:r>
    </w:p>
    <w:p w:rsidR="00F1087C" w:rsidRDefault="00F1087C">
      <w:bookmarkStart w:id="7" w:name="sub_14"/>
      <w:bookmarkEnd w:id="6"/>
      <w:r>
        <w:t xml:space="preserve">4) дополнить </w:t>
      </w:r>
      <w:hyperlink r:id="rId11" w:history="1">
        <w:r>
          <w:rPr>
            <w:rStyle w:val="a4"/>
            <w:rFonts w:cs="Times New Roman CYR"/>
          </w:rPr>
          <w:t>статьями 6.1</w:t>
        </w:r>
      </w:hyperlink>
      <w:r>
        <w:t xml:space="preserve"> и </w:t>
      </w:r>
      <w:hyperlink r:id="rId12" w:history="1">
        <w:r>
          <w:rPr>
            <w:rStyle w:val="a4"/>
            <w:rFonts w:cs="Times New Roman CYR"/>
          </w:rPr>
          <w:t>6.2</w:t>
        </w:r>
      </w:hyperlink>
      <w:r>
        <w:t xml:space="preserve"> следующего содержания:</w:t>
      </w:r>
    </w:p>
    <w:p w:rsidR="00F1087C" w:rsidRDefault="00F1087C">
      <w:pPr>
        <w:pStyle w:val="a5"/>
      </w:pPr>
      <w:bookmarkStart w:id="8" w:name="sub_61"/>
      <w:bookmarkEnd w:id="7"/>
      <w:r>
        <w:t>"</w:t>
      </w:r>
      <w:r>
        <w:rPr>
          <w:rStyle w:val="a3"/>
          <w:bCs/>
        </w:rPr>
        <w:t>Статья 6.1.</w:t>
      </w:r>
      <w:r>
        <w:t xml:space="preserve"> Деятельность по инвестиционному консультированию</w:t>
      </w:r>
    </w:p>
    <w:p w:rsidR="00F1087C" w:rsidRDefault="00F1087C">
      <w:bookmarkStart w:id="9" w:name="sub_611"/>
      <w:bookmarkEnd w:id="8"/>
      <w:r>
        <w:t>1. Деятельностью по инвестиционному консультированию признается оказание консультационных услуг в отношении ценных бумаг, сделок с ними и (или) заключения договоров, являющихся производными финансовыми инструментами, путем предоставления индивидуальных инвестиционных рекомендаций.</w:t>
      </w:r>
    </w:p>
    <w:bookmarkEnd w:id="9"/>
    <w:p w:rsidR="00F1087C" w:rsidRDefault="00F1087C">
      <w:r>
        <w:t>Не является деятельностью по инвестиционному консультированию предоставление профессиональным участником рынка ценных бумаг, управляющей компанией инвестиционного фонда, паевого инвестиционного фонда и негосударственного пенсионного фонда, кредитной организацией, негосударственным пенсионным фондом, страховой организацией, страховым брокером информации о своих услугах и (или) выпущенных (эмитированных) ими финансовых инструментах при условии, что предоставляемая информация не содержит индивидуальной инвестиционной рекомендации.</w:t>
      </w:r>
    </w:p>
    <w:p w:rsidR="00F1087C" w:rsidRDefault="00F1087C">
      <w:r>
        <w:lastRenderedPageBreak/>
        <w:t>Инвестиционное консультирование осуществляется на основании договора (договор об инвестиционном консультировании).</w:t>
      </w:r>
    </w:p>
    <w:p w:rsidR="00F1087C" w:rsidRDefault="00F1087C">
      <w:bookmarkStart w:id="10" w:name="sub_612"/>
      <w:r>
        <w:t>2. Профессиональный участник рынка ценных бумаг, осуществляющий деятельность по инвестиционному консультированию, именуется инвестиционным советником. Инвестиционным советником может быть юридическое лицо, которое создано в соответствии с законодательством Российской Федерации, или индивидуальный предприниматель, являющиеся членами саморегулируемой организации в сфере финансового рынка, объединяющей инвестиционных советников, и включенные в единый реестр инвестиционных советников.</w:t>
      </w:r>
    </w:p>
    <w:bookmarkEnd w:id="10"/>
    <w:p w:rsidR="00F1087C" w:rsidRDefault="00F1087C">
      <w:r>
        <w:t>Слова "инвестиционный советник", производные от них слова и сочетания с ними в фирменном наименовании могут использоваться только инвестиционными советниками.</w:t>
      </w:r>
    </w:p>
    <w:p w:rsidR="00F1087C" w:rsidRDefault="00F1087C">
      <w:bookmarkStart w:id="11" w:name="sub_613"/>
      <w:r>
        <w:t>3. Банк России устанавливает порядок ведения единого реестра инвестиционных советников, ведет указанный реестр, предоставляет заинтересованным лицам сведения, содержащиеся в указанном реестре, размещает эти сведения в информационно-телекоммуникационной сети "Интернет".</w:t>
      </w:r>
    </w:p>
    <w:bookmarkEnd w:id="11"/>
    <w:p w:rsidR="00F1087C" w:rsidRDefault="00F1087C">
      <w:r>
        <w:t>Для включения в единый реестр инвестиционных советников юридическое лицо и индивидуальный предприниматель должны соответствовать требованиям, установленным к инвестиционным советникам настоящим Федеральным законом и принятыми в соответствии с ним нормативными актами Банка России.</w:t>
      </w:r>
    </w:p>
    <w:p w:rsidR="00F1087C" w:rsidRDefault="00F1087C">
      <w:r>
        <w:t>Банк России принимает решение о внесении сведений о лице в единый реестр инвестиционных советников или об отказе во внесении сведений о лице в единый реестр инвестиционных советников на основании заявления и документов, перечень которых устанавливается нормативным актом Банка России.</w:t>
      </w:r>
    </w:p>
    <w:p w:rsidR="00F1087C" w:rsidRDefault="00F1087C">
      <w:r>
        <w:t>Порядок, сроки принятия указанного решения и форма заявления о внесении сведений о лице в единый реестр инвестиционных советников устанавливаются нормативным актом Банка России.</w:t>
      </w:r>
    </w:p>
    <w:p w:rsidR="00F1087C" w:rsidRDefault="00F1087C">
      <w:r>
        <w:t>Во внесении сведений о лице в единый реестр инвестиционных советников может быть отказано по основаниям, установленным Банком России.</w:t>
      </w:r>
    </w:p>
    <w:p w:rsidR="00F1087C" w:rsidRDefault="00F1087C">
      <w:bookmarkStart w:id="12" w:name="sub_614"/>
      <w:r>
        <w:t>4. Основанием для принятия Банком России решения об исключении сведений об инвестиционном советнике из единого реестра инвестиционных советников является:</w:t>
      </w:r>
    </w:p>
    <w:p w:rsidR="00F1087C" w:rsidRDefault="00F1087C">
      <w:bookmarkStart w:id="13" w:name="sub_6141"/>
      <w:bookmarkEnd w:id="12"/>
      <w:r>
        <w:t>1) заявление инвестиционного советника, поданное в Банк России;</w:t>
      </w:r>
    </w:p>
    <w:p w:rsidR="00F1087C" w:rsidRDefault="00F1087C">
      <w:bookmarkStart w:id="14" w:name="sub_6142"/>
      <w:bookmarkEnd w:id="13"/>
      <w:r>
        <w:t>2) прекращение членства инвестиционного советника в саморегулируемой организации в сфере финансового рынка, объединяющей инвестиционных советников;</w:t>
      </w:r>
    </w:p>
    <w:p w:rsidR="00F1087C" w:rsidRDefault="00F1087C">
      <w:bookmarkStart w:id="15" w:name="sub_6143"/>
      <w:bookmarkEnd w:id="14"/>
      <w:r>
        <w:t>3) неоднократное нарушение инвестиционным советником при осуществлении деятельности по инвестиционному консультированию требований настоящего Федерального закона и принятых в соответствии с ним нормативных актов Банка России.</w:t>
      </w:r>
    </w:p>
    <w:p w:rsidR="00F1087C" w:rsidRDefault="00F1087C">
      <w:bookmarkStart w:id="16" w:name="sub_615"/>
      <w:bookmarkEnd w:id="15"/>
      <w:r>
        <w:t>5. Саморегулируемая организация обязана не позднее следующего дня после дня принятия решения о прекращении членства инвестиционного советника сообщить об этом в Банк России. Банк России обязан не позднее следующего дня после дня получения такого сообщения исключить лицо из единого реестра инвестиционных советников и направить ему соответствующее уведомление.</w:t>
      </w:r>
    </w:p>
    <w:p w:rsidR="00F1087C" w:rsidRDefault="00F1087C">
      <w:bookmarkStart w:id="17" w:name="sub_616"/>
      <w:bookmarkEnd w:id="16"/>
      <w:r>
        <w:t>6. Инвестиционные советники, являющиеся индивидуальными предпринимателями, органы управления инвестиционных советников, являющихся юридическими лицами, и их работники должны соответствовать требованиям, установленным пунктом 1 статьи 10.1 настоящего Федерального закона.</w:t>
      </w:r>
    </w:p>
    <w:p w:rsidR="00F1087C" w:rsidRDefault="00F1087C">
      <w:bookmarkStart w:id="18" w:name="sub_617"/>
      <w:bookmarkEnd w:id="17"/>
      <w:r>
        <w:t>7. Инвестиционный советник, являющийся юридическим лицом, вправе совмещать свою деятельность с иными видами профессиональной деятельности на рынке ценных бумаг и деятельностью кредитной организации.</w:t>
      </w:r>
    </w:p>
    <w:bookmarkEnd w:id="18"/>
    <w:p w:rsidR="00F1087C" w:rsidRDefault="00F1087C">
      <w:r>
        <w:t>Инвестиционный советник также вправе совмещать свою деятельность с любой иной не подлежащей лицензированию в соответствии с законодательством Российской Федерации деятельностью.</w:t>
      </w:r>
    </w:p>
    <w:p w:rsidR="00F1087C" w:rsidRDefault="00F1087C"/>
    <w:p w:rsidR="00F1087C" w:rsidRDefault="00F1087C">
      <w:pPr>
        <w:pStyle w:val="a5"/>
      </w:pPr>
      <w:bookmarkStart w:id="19" w:name="sub_62"/>
      <w:r>
        <w:rPr>
          <w:rStyle w:val="a3"/>
          <w:bCs/>
        </w:rPr>
        <w:t>Статья 6.2.</w:t>
      </w:r>
      <w:r>
        <w:t xml:space="preserve"> Предоставление индивидуальных инвестиционных рекомендаций</w:t>
      </w:r>
    </w:p>
    <w:p w:rsidR="00F1087C" w:rsidRDefault="00F1087C">
      <w:bookmarkStart w:id="20" w:name="sub_621"/>
      <w:bookmarkEnd w:id="19"/>
      <w:r>
        <w:t>1. Инвестиционный советник обязан оказывать услуги по инвестиционному консультированию добросовестно, разумно и действовать в интересах клиента.</w:t>
      </w:r>
    </w:p>
    <w:p w:rsidR="00F1087C" w:rsidRDefault="00F1087C">
      <w:bookmarkStart w:id="21" w:name="sub_622"/>
      <w:bookmarkEnd w:id="20"/>
      <w:r>
        <w:t>2. Инвестиционный советник предоставляет индивидуальные инвестиционные рекомендации клиенту в соответствии с его инвестиционным профилем. В целях настоящей статьи под инвестиционным профилем понимается информация о доходности от операций с финансовыми инструментами, на которую рассчитывает клиент, о периоде времени, за который определяется такая доходность, а также о допустимом для клиента риске убытков от таких операций, если клиент не является квалифицированным инвестором. Порядок определения инвестиционного профиля клиента устанавливается Банком России.</w:t>
      </w:r>
    </w:p>
    <w:p w:rsidR="00F1087C" w:rsidRDefault="00F1087C">
      <w:bookmarkStart w:id="22" w:name="sub_623"/>
      <w:bookmarkEnd w:id="21"/>
      <w:r>
        <w:t>3. Для определения инвестиционного профиля клиента инвестиционный советник должен запросить у клиента необходимую информацию. При этом инвестиционный советник не обязан проверять достоверность представленной информации, а в случае, если клиент является квалифицированным инвестором, вправе не запрашивать информацию о допустимом для клиента риске.</w:t>
      </w:r>
    </w:p>
    <w:bookmarkEnd w:id="22"/>
    <w:p w:rsidR="00F1087C" w:rsidRDefault="00F1087C">
      <w:r>
        <w:t>В случае отказа клиента представить предусмотренную настоящим пунктом информацию инвестиционный советник не вправе предоставлять индивидуальную инвестиционную рекомендацию.</w:t>
      </w:r>
    </w:p>
    <w:p w:rsidR="00F1087C" w:rsidRDefault="00F1087C">
      <w:bookmarkStart w:id="23" w:name="sub_624"/>
      <w:r>
        <w:t>4. Инвестиционный советник несет ответственность за неисполнение и (или) ненадлежащее исполнение своих обязанностей при оказании услуг по инвестиционному консультированию в соответствии с законодательством Российской Федерации и договором об инвестиционном консультировании.</w:t>
      </w:r>
    </w:p>
    <w:bookmarkEnd w:id="23"/>
    <w:p w:rsidR="00F1087C" w:rsidRDefault="00F1087C">
      <w:r>
        <w:t>Инвестиционный советник не несет ответственности за убытки, причиненные вследствие индивидуальной инвестиционной рекомендации, основанной на представленной клиентом недостоверной информации.</w:t>
      </w:r>
    </w:p>
    <w:p w:rsidR="00F1087C" w:rsidRDefault="00F1087C">
      <w:bookmarkStart w:id="24" w:name="sub_625"/>
      <w:r>
        <w:t>5. Индивидуальная инвестиционная рекомендация должна включать в себя описание ценной бумаги и планируемой с ней сделки и (или) договора, являющегося производным финансовым инструментом, в отношении которых дается такая рекомендация, описание рисков, связанных с соответствующими ценной бумагой или производным финансовым инструментом, сделкой с ценной бумагой и (или) заключением договора, являющегося производным финансовым инструментом, а также указание на наличие конфликта интересов у инвестиционного советника, имеющего место при оказании услуг, либо на его отсутствие.</w:t>
      </w:r>
    </w:p>
    <w:bookmarkEnd w:id="24"/>
    <w:p w:rsidR="00F1087C" w:rsidRDefault="00F1087C">
      <w:r>
        <w:t>Требования к форме предоставления индивидуальной инвестиционной рекомендации устанавливаются Банком России.</w:t>
      </w:r>
    </w:p>
    <w:p w:rsidR="00F1087C" w:rsidRDefault="00F1087C">
      <w:bookmarkStart w:id="25" w:name="sub_626"/>
      <w:r>
        <w:t>6. В случае, если предоставление индивидуальных инвестиционных рекомендаций осуществляется посредством программ для электронных вычислительных машин, в том числе в информационно-телекоммуникационной сети "Интернет", такие программы подлежат аккредитации в Банке России в установленном им порядке. Банк России вправе передать саморегулируемой организации в сфере финансового рынка, объединяющей инвестиционных советников, полномочия по аккредитации указанных программ.</w:t>
      </w:r>
    </w:p>
    <w:p w:rsidR="00F1087C" w:rsidRDefault="00F1087C">
      <w:bookmarkStart w:id="26" w:name="sub_627"/>
      <w:bookmarkEnd w:id="25"/>
      <w:r>
        <w:t>7. При наличии у инвестиционного советника договоров с третьими лицами, предусматривающих вознаграждение за предоставление клиентам индивидуальных инвестиционных рекомендаций, инвестиционный советник обязан уведомить клиента о наличии таких договоров одновременно с предоставлением индивидуальной инвестиционной рекомендации.";</w:t>
      </w:r>
    </w:p>
    <w:p w:rsidR="00F1087C" w:rsidRDefault="00F1087C">
      <w:bookmarkStart w:id="27" w:name="sub_15"/>
      <w:bookmarkEnd w:id="26"/>
      <w:r>
        <w:t xml:space="preserve">5) </w:t>
      </w:r>
      <w:hyperlink r:id="rId13" w:history="1">
        <w:r>
          <w:rPr>
            <w:rStyle w:val="a4"/>
            <w:rFonts w:cs="Times New Roman CYR"/>
          </w:rPr>
          <w:t>статью 42</w:t>
        </w:r>
      </w:hyperlink>
      <w:r>
        <w:t xml:space="preserve"> дополнить </w:t>
      </w:r>
      <w:hyperlink r:id="rId14" w:history="1">
        <w:r>
          <w:rPr>
            <w:rStyle w:val="a4"/>
            <w:rFonts w:cs="Times New Roman CYR"/>
          </w:rPr>
          <w:t>пунктом 39</w:t>
        </w:r>
      </w:hyperlink>
      <w:r>
        <w:t xml:space="preserve"> следующего содержания:</w:t>
      </w:r>
    </w:p>
    <w:p w:rsidR="00F1087C" w:rsidRDefault="00F1087C">
      <w:bookmarkStart w:id="28" w:name="sub_4239"/>
      <w:bookmarkEnd w:id="27"/>
      <w:r>
        <w:t>"39) утверждает требования к осуществлению деятельности по инвестиционному консультированию.";</w:t>
      </w:r>
    </w:p>
    <w:p w:rsidR="00F1087C" w:rsidRDefault="00F1087C">
      <w:bookmarkStart w:id="29" w:name="sub_16"/>
      <w:bookmarkEnd w:id="28"/>
      <w:r>
        <w:t xml:space="preserve">6) </w:t>
      </w:r>
      <w:hyperlink r:id="rId15" w:history="1">
        <w:r>
          <w:rPr>
            <w:rStyle w:val="a4"/>
            <w:rFonts w:cs="Times New Roman CYR"/>
          </w:rPr>
          <w:t>пункт 16 статьи 44</w:t>
        </w:r>
      </w:hyperlink>
      <w:r>
        <w:t xml:space="preserve"> дополнить словами ", требования к программам для электронных </w:t>
      </w:r>
      <w:r>
        <w:lastRenderedPageBreak/>
        <w:t>вычислительных машин, используемым для оказания услуг по инвестиционному консультированию".</w:t>
      </w:r>
    </w:p>
    <w:bookmarkEnd w:id="29"/>
    <w:p w:rsidR="00F1087C" w:rsidRDefault="00F1087C"/>
    <w:p w:rsidR="00F1087C" w:rsidRDefault="00F1087C">
      <w:bookmarkStart w:id="30" w:name="sub_2"/>
      <w:r>
        <w:rPr>
          <w:rStyle w:val="a3"/>
          <w:bCs/>
        </w:rPr>
        <w:t>Статья 2</w:t>
      </w:r>
    </w:p>
    <w:bookmarkEnd w:id="30"/>
    <w:p w:rsidR="00F1087C" w:rsidRDefault="00F1087C">
      <w:r>
        <w:fldChar w:fldCharType="begin"/>
      </w:r>
      <w:r>
        <w:instrText>HYPERLINK "http://internet.garant.ru/document?id=71029194&amp;sub=301"</w:instrText>
      </w:r>
      <w:r>
        <w:fldChar w:fldCharType="separate"/>
      </w:r>
      <w:r>
        <w:rPr>
          <w:rStyle w:val="a4"/>
          <w:rFonts w:cs="Times New Roman CYR"/>
        </w:rPr>
        <w:t>Часть 1 статьи 3</w:t>
      </w:r>
      <w:r>
        <w:fldChar w:fldCharType="end"/>
      </w:r>
      <w:r>
        <w:t xml:space="preserve"> Федерального закона от 13 июля 2015 года N 223-ФЗ "О саморегулируемых организациях в сфере финансового рынка" (Собрание законодательства Российской Федерации, 2015, N 29, ст. 4349) дополнить </w:t>
      </w:r>
      <w:hyperlink r:id="rId16" w:history="1">
        <w:r>
          <w:rPr>
            <w:rStyle w:val="a4"/>
            <w:rFonts w:cs="Times New Roman CYR"/>
          </w:rPr>
          <w:t>пунктом 17</w:t>
        </w:r>
      </w:hyperlink>
      <w:r>
        <w:t xml:space="preserve"> следующего содержания:</w:t>
      </w:r>
    </w:p>
    <w:p w:rsidR="00F1087C" w:rsidRDefault="00F1087C">
      <w:bookmarkStart w:id="31" w:name="sub_30117"/>
      <w:r>
        <w:t>"17) инвестиционных советников.".</w:t>
      </w:r>
    </w:p>
    <w:bookmarkEnd w:id="31"/>
    <w:p w:rsidR="00F1087C" w:rsidRDefault="00F1087C"/>
    <w:p w:rsidR="00F1087C" w:rsidRDefault="00F1087C">
      <w:bookmarkStart w:id="32" w:name="sub_3"/>
      <w:r>
        <w:rPr>
          <w:rStyle w:val="a3"/>
          <w:bCs/>
        </w:rPr>
        <w:t>Статья 3</w:t>
      </w:r>
    </w:p>
    <w:p w:rsidR="00F1087C" w:rsidRDefault="00F1087C">
      <w:bookmarkStart w:id="33" w:name="sub_31"/>
      <w:bookmarkEnd w:id="32"/>
      <w:r>
        <w:t xml:space="preserve">1. Настоящий Федеральный закон вступает в силу по истечении одного года после дня его </w:t>
      </w:r>
      <w:hyperlink r:id="rId17" w:history="1">
        <w:r>
          <w:rPr>
            <w:rStyle w:val="a4"/>
            <w:rFonts w:cs="Times New Roman CYR"/>
          </w:rPr>
          <w:t>официального опубликования</w:t>
        </w:r>
      </w:hyperlink>
      <w:r>
        <w:t>.</w:t>
      </w:r>
    </w:p>
    <w:p w:rsidR="00F1087C" w:rsidRDefault="00F1087C">
      <w:bookmarkStart w:id="34" w:name="sub_32"/>
      <w:bookmarkEnd w:id="33"/>
      <w:r>
        <w:t>2. Лица, осуществляющие деятельность по инвестиционному консультированию, обязаны вступить в саморегулируемую организацию в сфере финансового рынка, объединяющую инвестиционных советников, в течение шести месяцев со дня получения некоммерческой организацией статуса саморегулируемой организации в сфере финансового рынка, объединяющей инвестиционных советников.</w:t>
      </w:r>
    </w:p>
    <w:p w:rsidR="00F1087C" w:rsidRDefault="00F1087C">
      <w:bookmarkStart w:id="35" w:name="sub_33"/>
      <w:bookmarkEnd w:id="34"/>
      <w:r>
        <w:t xml:space="preserve">3. В течение двух лет со дня </w:t>
      </w:r>
      <w:hyperlink w:anchor="sub_31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настоящего Федерального закона требования о достаточном количестве членов для получения статуса саморегулируемой организации, установленные </w:t>
      </w:r>
      <w:hyperlink r:id="rId18" w:history="1">
        <w:r>
          <w:rPr>
            <w:rStyle w:val="a4"/>
            <w:rFonts w:cs="Times New Roman CYR"/>
          </w:rPr>
          <w:t>пунктом 1 части 4 статьи 3</w:t>
        </w:r>
      </w:hyperlink>
      <w:r>
        <w:t xml:space="preserve"> Федерального закона от 13 июля 2015 года N 223-ФЗ "О саморегулируемых организациях в сфере финансового рынка", не применяются к саморегулируемым организациям в сфере финансового рынка, объединяющим инвестиционных советников, а также к некоммерческим организациям при получении статуса саморегулируемой организации в сфере финансового рынка, объединяющей инвестиционных советников.</w:t>
      </w:r>
    </w:p>
    <w:bookmarkEnd w:id="35"/>
    <w:p w:rsidR="00F1087C" w:rsidRDefault="00F1087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F1087C" w:rsidRPr="00E07859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F1087C" w:rsidRPr="00E07859" w:rsidRDefault="00F1087C">
            <w:pPr>
              <w:pStyle w:val="a7"/>
            </w:pPr>
            <w:r w:rsidRPr="00E07859"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F1087C" w:rsidRPr="00E07859" w:rsidRDefault="00F1087C">
            <w:pPr>
              <w:pStyle w:val="a6"/>
              <w:jc w:val="right"/>
            </w:pPr>
            <w:r w:rsidRPr="00E07859">
              <w:t>В. Путин</w:t>
            </w:r>
          </w:p>
        </w:tc>
      </w:tr>
    </w:tbl>
    <w:p w:rsidR="00F1087C" w:rsidRDefault="00F1087C"/>
    <w:p w:rsidR="00F1087C" w:rsidRDefault="00F1087C">
      <w:pPr>
        <w:pStyle w:val="a7"/>
      </w:pPr>
      <w:r>
        <w:t>Москва, Кремль</w:t>
      </w:r>
      <w:r>
        <w:br/>
        <w:t>20 декабря 2017 года</w:t>
      </w:r>
      <w:r>
        <w:br/>
        <w:t>N 397-ФЗ</w:t>
      </w:r>
    </w:p>
    <w:p w:rsidR="00F1087C" w:rsidRDefault="00F1087C"/>
    <w:sectPr w:rsidR="00F1087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CAD"/>
    <w:rsid w:val="00167CAD"/>
    <w:rsid w:val="00E07859"/>
    <w:rsid w:val="00F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A6B0C"/>
  <w14:defaultImageDpi w14:val="0"/>
  <w15:docId w15:val="{501F2EA4-D3D7-4927-BABE-403E9B8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7560090&amp;sub=309" TargetMode="External"/><Relationship Id="rId13" Type="http://schemas.openxmlformats.org/officeDocument/2006/relationships/hyperlink" Target="http://internet.garant.ru/document?id=10006464&amp;sub=42" TargetMode="External"/><Relationship Id="rId18" Type="http://schemas.openxmlformats.org/officeDocument/2006/relationships/hyperlink" Target="http://internet.garant.ru/document?id=71029194&amp;sub=3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006464&amp;sub=3" TargetMode="External"/><Relationship Id="rId12" Type="http://schemas.openxmlformats.org/officeDocument/2006/relationships/hyperlink" Target="http://internet.garant.ru/document?id=77560090&amp;sub=275309112" TargetMode="External"/><Relationship Id="rId17" Type="http://schemas.openxmlformats.org/officeDocument/2006/relationships/hyperlink" Target="http://internet.garant.ru/document?id=71737599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7560092&amp;sub=301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0006464&amp;sub=216" TargetMode="External"/><Relationship Id="rId11" Type="http://schemas.openxmlformats.org/officeDocument/2006/relationships/hyperlink" Target="http://internet.garant.ru/document?id=77560090&amp;sub=275309111" TargetMode="External"/><Relationship Id="rId5" Type="http://schemas.openxmlformats.org/officeDocument/2006/relationships/hyperlink" Target="http://internet.garant.ru/document?id=10006464&amp;sub=0" TargetMode="External"/><Relationship Id="rId15" Type="http://schemas.openxmlformats.org/officeDocument/2006/relationships/hyperlink" Target="http://internet.garant.ru/document?id=10006464&amp;sub=44016" TargetMode="External"/><Relationship Id="rId10" Type="http://schemas.openxmlformats.org/officeDocument/2006/relationships/hyperlink" Target="http://internet.garant.ru/document?id=77560090&amp;sub=50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06464&amp;sub=5" TargetMode="External"/><Relationship Id="rId14" Type="http://schemas.openxmlformats.org/officeDocument/2006/relationships/hyperlink" Target="http://internet.garant.ru/document?id=77560090&amp;sub=4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Евгений Васин</cp:lastModifiedBy>
  <cp:revision>2</cp:revision>
  <dcterms:created xsi:type="dcterms:W3CDTF">2018-10-09T11:39:00Z</dcterms:created>
  <dcterms:modified xsi:type="dcterms:W3CDTF">2018-10-09T11:39:00Z</dcterms:modified>
</cp:coreProperties>
</file>